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BITÁCORA DE AVANCE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2-A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17/12/2025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.8281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Corrección y avance informe final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maqueta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Término de implementación(código)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Tomar opinión de los integrantes respecto a la maqueta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ind w:lef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¿Cuántos estacionamientos tendremos en la maqueta?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¿Cómo estará diseñado el direccionamiento de flechas para los autos? 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23/12/2025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Defensa de informe final(Ángel Cabezas, Álvaro Guarachi, Rafael Nakata, Erik Correa).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Muestra de funcionamiento maqueta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before="0" w:lineRule="auto"/>
              <w:ind w:left="0" w:firstLine="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Presentación final + maqueta funcional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A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B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2C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rDtilWnzdbM4/fYVt2Y9DMjpA==">CgMxLjA4AHIhMVlvTkd2bVZKTUVMZXlSM2c4SzFkSnBDRmJJS0pWdUIz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