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11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 para peatones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04-12-2025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Término del resto de presentaciones del informe 2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Pruebas de YOLOv4 para el reconocimiento de personas; los intentos no son satisfactorios debido a una falta de librerías (versión de OpenCv no es la versión necesaria)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decide utilizar haarcascades con un archivo xml; los resultados funcionan luego de pruebas de configuración, pero las imágenes tardan entre 0.5 y 1 segundos en ser procesadas. Se considera obtener imágenes en un intervalo más grande sin perder precisión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Otra opción a considerar es la activación por botón: que la cámara esté inactiva hasta que se presione el botón, con lo que comenzará a sacar imágenes para el RPi, y que se desactive luego de un período de tiempo</w:t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Investigar realización de la maqueta virtual en Unity, conectando la información del RPi con el modelo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Concreción del método de reconocimiento de personas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11-12-2025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 la maqueta virtual en Unity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Conexión del RPi con la maqueta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 la implementación del algoritmo</w:t>
            </w:r>
          </w:p>
        </w:tc>
      </w:tr>
    </w:tbl>
    <w:p w:rsidR="00000000" w:rsidDel="00000000" w:rsidP="00000000" w:rsidRDefault="00000000" w:rsidRPr="00000000" w14:paraId="00000035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-371458</wp:posOffset>
          </wp:positionH>
          <wp:positionV relativeFrom="paragraph">
            <wp:posOffset>-66661</wp:posOffset>
          </wp:positionV>
          <wp:extent cx="432783" cy="635362"/>
          <wp:effectExtent b="0" l="0" r="0" t="0"/>
          <wp:wrapSquare wrapText="bothSides" distB="114300" distT="114300" distL="114300" distR="114300"/>
          <wp:docPr id="2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zzj2T0geujaGgOL9pASmgh+kA==">CgMxLjAyDmguNzM5dGVnOGt0cnl6OAByITFVMWhab1FNOUt5dUl6eXVKV3c5SDUxQmZlTERLMWh5eA==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