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09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20-11-2025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 los casos de uso para el informe 2: se consideran las funcionalidades del sistema junto con los actores (sensores, usuario)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Presentación del proyecto en la feria de Ingeniería UTA. Los integrantes presentes se fueron rotando para avanzar en otras partes del proyecto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Corrección del informe 1 considerando la revisión del profesor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Setup de VNC y SSH para control completamente remoto del Raspberry</w:t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0" w:firstLine="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27-11-2025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Presentación del informe 2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 la implementación del proyecto</w:t>
            </w:r>
          </w:p>
        </w:tc>
      </w:tr>
    </w:tbl>
    <w:p w:rsidR="00000000" w:rsidDel="00000000" w:rsidP="00000000" w:rsidRDefault="00000000" w:rsidRPr="00000000" w14:paraId="00000032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-371461</wp:posOffset>
          </wp:positionH>
          <wp:positionV relativeFrom="paragraph">
            <wp:posOffset>-66665</wp:posOffset>
          </wp:positionV>
          <wp:extent cx="432783" cy="635362"/>
          <wp:effectExtent b="0" l="0" r="0" t="0"/>
          <wp:wrapSquare wrapText="bothSides" distB="114300" distT="114300" distL="114300" distR="114300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IFH6Z/7dNkoSrrcstvjdMm6VA==">CgMxLjAyDmguNzM5dGVnOGt0cnl6OAByITFEY0h4RnplcEwxWXVMQ1VSQ3RTX0VCdnJTSTFidXkxZw==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