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08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13-11-2025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y prueba de OpenCV para el uso de la cámara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Diseño de los diagramas de contexto iniciales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Actualización de la carta Gantt con las actividades relevantes desde el 11/11/2025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 los casos de uso para el informe 2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logró implementar la detección de rostros a través del sensor cámara; siguientes pasos incluyen detectar personas y contarlas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0" w:firstLine="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código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20-11-2025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informe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Programación en RPi 4B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en la feria de Ingenieria UTA</w:t>
            </w:r>
          </w:p>
        </w:tc>
      </w:tr>
    </w:tbl>
    <w:p w:rsidR="00000000" w:rsidDel="00000000" w:rsidP="00000000" w:rsidRDefault="00000000" w:rsidRPr="00000000" w14:paraId="00000034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-371462</wp:posOffset>
          </wp:positionH>
          <wp:positionV relativeFrom="paragraph">
            <wp:posOffset>-66666</wp:posOffset>
          </wp:positionV>
          <wp:extent cx="432783" cy="635362"/>
          <wp:effectExtent b="0" l="0" r="0" t="0"/>
          <wp:wrapSquare wrapText="bothSides" distB="114300" distT="114300" distL="114300" distR="11430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ZDgS8lJejEJ8ATj3PhEqG0b1g==">CgMxLjAyDmguNzM5dGVnOGt0cnl6OAByITFwX2hRQklNc3NhYTl5U1l6STdRUWZVUmJ3Tl9uaG5ENg==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