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05/11/2025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investigación acerca de los tipos de diagramas a trabajar con el informe.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informe 2.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Raspberry con sensores nuevos.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Anotar las correcciones del profesor de la presentación.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¿Se usará diagrama de actividades o de secuencia?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12/11/2025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II (Rafael Nakata, Álvaro Guarachi).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sistema operativo y librerías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afterAutospacing="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en diseño de diagramas estudiados.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40" w:before="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sensores nuevos.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D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b1tc1f9pI5lDt3dwj6IrRFWOsg==">CgMxLjA4AHIhMXFaQTROb1MyWS0wNlY1QjBIbWdOakpUZFhPZkZlcUg1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