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29/10/2025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Presentación Informe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24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Anotar las correcciones del profesor de la presentación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¿Cómo definimos los costos de recursos humanos más específicamente?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05/11/2025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 (Rafael Nakata, Álvaro Guarachi).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sistema operativo y librerías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Analizar requerimientos del informe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Investigar acerca de diagrama de casos de uso, clases, actividades y secuencia.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8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GkFrqPp5QRMmRUew/P7wwPIPw==">CgMxLjA4AHIhMXd2VGRMd1hjVW1HckxQZ240V0lxNUdsMkZ3SVdjQ2x3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