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27-10-2025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Comienzan las presentaciones del avance 1.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Analizar con qué herramientas se trabajara el framework del sistema. 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node exporter en los servidores.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Concluir con las presentaciones.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Instalar node exporter en los 4 servidores.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prueba de funcionamiento.</w:t>
            </w:r>
          </w:p>
          <w:p w:rsidR="00000000" w:rsidDel="00000000" w:rsidP="00000000" w:rsidRDefault="00000000" w:rsidRPr="00000000" w14:paraId="0000002E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Estudio del modelo de contexto.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Pruebas de funcionamientos y configuración de grafana.</w:t>
            </w:r>
          </w:p>
          <w:p w:rsidR="00000000" w:rsidDel="00000000" w:rsidP="00000000" w:rsidRDefault="00000000" w:rsidRPr="00000000" w14:paraId="00000036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-371468</wp:posOffset>
          </wp:positionH>
          <wp:positionV relativeFrom="paragraph">
            <wp:posOffset>-66670</wp:posOffset>
          </wp:positionV>
          <wp:extent cx="432783" cy="635362"/>
          <wp:effectExtent b="0" l="0" r="0" t="0"/>
          <wp:wrapSquare wrapText="bothSides" distB="114300" distT="11430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F4Nw0d/AwcNytcXoYMD6a7jTw==">CgMxLjAyDmguZmNpcDBkczhvOTlyOAByITFFWjNfUklKeG91VzlqbWI4QWJFOGxkNXI3U0d5aS1oNw==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