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905"/>
        <w:gridCol w:w="4785"/>
        <w:tblGridChange w:id="0">
          <w:tblGrid>
            <w:gridCol w:w="2145"/>
            <w:gridCol w:w="1905"/>
            <w:gridCol w:w="4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solicita al cliente las fuentes de datos, para comenzar el análisis.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análisis de los posibles diagramas característicos.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el proyecto para ver qué diagrama mostrará mejor el proyecto.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Diagramas.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Solicitar al clientes las fuentes.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diagramas.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Finalizar diagramas.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fuentes de datos.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-371470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0tEQPsw1zdjQozCyJ49ci4ZOw==">CgMxLjAyCGguZ2pkZ3hzOAByITFfVVNvUlU4dTR0ZHB4N25NcF9ZQUlJVnlWcDdqMlZRZg==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