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12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Sistema de Visualización y Edición de Maquetas de líneas y subestaciones eléctricas de alta tensión en Realidad Virtual.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Nicolás Barraza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26 -06 -2024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Henry Ordonez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Manuel Perez Rojas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mostró el avance realizado, detallando cómo sucede la posición de los objetos al momento de ser seleccionados en el inventario.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Los objetos deben inicializar en el inventario.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Ajustes de biblioteca.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03/07/2024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Realizar la salida a terreno.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Nicolas Barraza.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Realizar salida a terreno con los clientes, para aprender sobre el entorno de las subestaciones eléctricas.</w:t>
            </w:r>
          </w:p>
        </w:tc>
      </w:tr>
    </w:tbl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2" l="9341" r="6047" t="8935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-371467</wp:posOffset>
          </wp:positionH>
          <wp:positionV relativeFrom="paragraph">
            <wp:posOffset>-66669</wp:posOffset>
          </wp:positionV>
          <wp:extent cx="432783" cy="635362"/>
          <wp:effectExtent b="0" l="0" r="0" t="0"/>
          <wp:wrapSquare wrapText="bothSides" distB="114300" distT="11430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nry.ordonez@newenche.cl" TargetMode="External"/><Relationship Id="rId8" Type="http://schemas.openxmlformats.org/officeDocument/2006/relationships/hyperlink" Target="mailto:manuel.perez@newenche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9sTLuZxxJEjGPUoAYXuQGPJpFg==">CgMxLjAyCGguZ2pkZ3hzOAByITFBVDY3dXJNeWhXQXZESFF3RzJ4QkNmM21hR2wtWUo0Zw==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