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gestión de camión de cargas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Ignacio Córdova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687.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15-05-2024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avance del proyecto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Reducir el tiempo de gracia para paridad de 1 minuto a 30 segundos 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cliente se mostró interesado en apoyar con la interfaz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el prototipo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hacer que la correlación de base de datos prioritize las fechas del guardia para paridad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22/05/2024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Presentar el sistema de pareado de datos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Ignacio Córdova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2       El cliente se compromete a preparar un video mostrando como se mueven los camiones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el cliente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-371469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B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LHMKzKmSR7AFbl7HoBn7BXV7Q==">CgMxLjA4AHIhMW02MWhjUUtfLTR1WVpqa291eXpVbGxONW04TG4wT1o3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