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12 - 04 -2024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Nicolás Barraza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detalla a profundidad los requisitos del Cliente.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nos entrega una maqueta de Autocad , para utilizar 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Importación de maquetas de Autocad al motor gráfico adecuado.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Determinar los requisitos y que sean aprobados por el Cliente.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 / 04 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Documento de Requisitos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documento de requisitos.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JhJKHYxZeH1tTQKlfU+7g59JA==">CgMxLjAyCGguZ2pkZ3hzOAByITFhaEdpbFc1X0xzODdxS2JnSHFEN1R5YTcwbFg5Yy1IQw==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