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Trebuchet MS" w:cs="Trebuchet MS" w:eastAsia="Trebuchet MS" w:hAnsi="Trebuchet MS"/>
          <w:b w:val="1"/>
          <w:sz w:val="40"/>
          <w:szCs w:val="40"/>
          <w:rtl w:val="0"/>
        </w:rPr>
        <w:t xml:space="preserve">UNIVERSIDAD DE TARAPACÁ</w:t>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2515870</wp:posOffset>
            </wp:positionH>
            <wp:positionV relativeFrom="paragraph">
              <wp:posOffset>353609</wp:posOffset>
            </wp:positionV>
            <wp:extent cx="588645" cy="929640"/>
            <wp:effectExtent b="0" l="0" r="0" t="0"/>
            <wp:wrapTopAndBottom distB="0" distT="0"/>
            <wp:docPr descr="Un dibujo de una persona&#10;&#10;Descripción generada automáticamente con confianza baja" id="2" name="image2.png"/>
            <a:graphic>
              <a:graphicData uri="http://schemas.openxmlformats.org/drawingml/2006/picture">
                <pic:pic>
                  <pic:nvPicPr>
                    <pic:cNvPr descr="Un dibujo de una persona&#10;&#10;Descripción generada automáticamente con confianza baja" id="0" name="image2.png"/>
                    <pic:cNvPicPr preferRelativeResize="0"/>
                  </pic:nvPicPr>
                  <pic:blipFill>
                    <a:blip r:embed="rId7"/>
                    <a:srcRect b="0" l="0" r="0" t="0"/>
                    <a:stretch>
                      <a:fillRect/>
                    </a:stretch>
                  </pic:blipFill>
                  <pic:spPr>
                    <a:xfrm>
                      <a:off x="0" y="0"/>
                      <a:ext cx="588645" cy="929640"/>
                    </a:xfrm>
                    <a:prstGeom prst="rect"/>
                    <a:ln/>
                  </pic:spPr>
                </pic:pic>
              </a:graphicData>
            </a:graphic>
          </wp:anchor>
        </w:drawing>
      </w:r>
    </w:p>
    <w:p w:rsidR="00000000" w:rsidDel="00000000" w:rsidP="00000000" w:rsidRDefault="00000000" w:rsidRPr="00000000" w14:paraId="00000002">
      <w:pPr>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36"/>
          <w:szCs w:val="36"/>
          <w:rtl w:val="0"/>
        </w:rPr>
        <w:t xml:space="preserve">FACULTAD DE INGENIERÍA</w:t>
      </w:r>
      <w:r w:rsidDel="00000000" w:rsidR="00000000" w:rsidRPr="00000000">
        <w:rPr>
          <w:rtl w:val="0"/>
        </w:rPr>
      </w:r>
    </w:p>
    <w:p w:rsidR="00000000" w:rsidDel="00000000" w:rsidP="00000000" w:rsidRDefault="00000000" w:rsidRPr="00000000" w14:paraId="00000003">
      <w:pPr>
        <w:spacing w:line="276" w:lineRule="auto"/>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40"/>
          <w:szCs w:val="40"/>
          <w:rtl w:val="0"/>
        </w:rPr>
        <w:br w:type="textWrapping"/>
      </w:r>
      <w:r w:rsidDel="00000000" w:rsidR="00000000" w:rsidRPr="00000000">
        <w:rPr>
          <w:rFonts w:ascii="Trebuchet MS" w:cs="Trebuchet MS" w:eastAsia="Trebuchet MS" w:hAnsi="Trebuchet MS"/>
          <w:b w:val="1"/>
          <w:sz w:val="32"/>
          <w:szCs w:val="32"/>
          <w:rtl w:val="0"/>
        </w:rPr>
        <w:t xml:space="preserve">DEPARTAMENTO DE INGENIERÍA EN COMPUTACIÓN E INFORMÁTICA</w:t>
      </w:r>
      <w:r w:rsidDel="00000000" w:rsidR="00000000" w:rsidRPr="00000000">
        <w:rPr>
          <w:rFonts w:ascii="Trebuchet MS" w:cs="Trebuchet MS" w:eastAsia="Trebuchet MS" w:hAnsi="Trebuchet MS"/>
          <w:b w:val="1"/>
          <w:sz w:val="40"/>
          <w:szCs w:val="40"/>
          <w:rtl w:val="0"/>
        </w:rPr>
        <w:br w:type="textWrapping"/>
        <w:t xml:space="preserve">Manual de Usuario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1934210</wp:posOffset>
            </wp:positionH>
            <wp:positionV relativeFrom="paragraph">
              <wp:posOffset>932707</wp:posOffset>
            </wp:positionV>
            <wp:extent cx="1957705" cy="762000"/>
            <wp:effectExtent b="0" l="0" r="0" t="0"/>
            <wp:wrapTopAndBottom distB="0" dist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957705" cy="762000"/>
                    </a:xfrm>
                    <a:prstGeom prst="rect"/>
                    <a:ln/>
                  </pic:spPr>
                </pic:pic>
              </a:graphicData>
            </a:graphic>
          </wp:anchor>
        </w:drawing>
      </w:r>
    </w:p>
    <w:p w:rsidR="00000000" w:rsidDel="00000000" w:rsidP="00000000" w:rsidRDefault="00000000" w:rsidRPr="00000000" w14:paraId="00000004">
      <w:pPr>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GOLFFENHEIMER V1</w:t>
      </w:r>
    </w:p>
    <w:p w:rsidR="00000000" w:rsidDel="00000000" w:rsidP="00000000" w:rsidRDefault="00000000" w:rsidRPr="00000000" w14:paraId="00000005">
      <w:pPr>
        <w:jc w:val="center"/>
        <w:rPr>
          <w:rFonts w:ascii="Trebuchet MS" w:cs="Trebuchet MS" w:eastAsia="Trebuchet MS" w:hAnsi="Trebuchet MS"/>
          <w:b w:val="1"/>
          <w:sz w:val="44"/>
          <w:szCs w:val="44"/>
        </w:rPr>
      </w:pPr>
      <w:r w:rsidDel="00000000" w:rsidR="00000000" w:rsidRPr="00000000">
        <w:rPr>
          <w:rtl w:val="0"/>
        </w:rPr>
      </w:r>
    </w:p>
    <w:p w:rsidR="00000000" w:rsidDel="00000000" w:rsidP="00000000" w:rsidRDefault="00000000" w:rsidRPr="00000000" w14:paraId="00000006">
      <w:pPr>
        <w:ind w:left="4956" w:firstLine="83.99999999999977"/>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ab/>
        <w:tab/>
        <w:tab/>
        <w:tab/>
        <w:t xml:space="preserve">Alumno(os): Bruno Améstica</w:t>
      </w:r>
    </w:p>
    <w:p w:rsidR="00000000" w:rsidDel="00000000" w:rsidP="00000000" w:rsidRDefault="00000000" w:rsidRPr="00000000" w14:paraId="00000007">
      <w:pP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ab/>
        <w:tab/>
        <w:tab/>
        <w:tab/>
        <w:tab/>
        <w:tab/>
        <w:tab/>
        <w:t xml:space="preserve">Jorge Caceres</w:t>
      </w:r>
    </w:p>
    <w:p w:rsidR="00000000" w:rsidDel="00000000" w:rsidP="00000000" w:rsidRDefault="00000000" w:rsidRPr="00000000" w14:paraId="00000008">
      <w:pP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ab/>
        <w:tab/>
        <w:tab/>
        <w:tab/>
        <w:tab/>
        <w:tab/>
        <w:tab/>
        <w:t xml:space="preserve">Ignacio Garrido</w:t>
      </w:r>
    </w:p>
    <w:p w:rsidR="00000000" w:rsidDel="00000000" w:rsidP="00000000" w:rsidRDefault="00000000" w:rsidRPr="00000000" w14:paraId="00000009">
      <w:pP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ab/>
        <w:tab/>
        <w:tab/>
        <w:tab/>
        <w:tab/>
        <w:tab/>
        <w:tab/>
        <w:t xml:space="preserve">Katalina Oviedo</w:t>
      </w:r>
    </w:p>
    <w:p w:rsidR="00000000" w:rsidDel="00000000" w:rsidP="00000000" w:rsidRDefault="00000000" w:rsidRPr="00000000" w14:paraId="0000000A">
      <w:pP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ab/>
        <w:tab/>
        <w:tab/>
        <w:tab/>
        <w:tab/>
        <w:tab/>
        <w:tab/>
        <w:t xml:space="preserve">Fernando Pizarro</w:t>
      </w:r>
    </w:p>
    <w:p w:rsidR="00000000" w:rsidDel="00000000" w:rsidP="00000000" w:rsidRDefault="00000000" w:rsidRPr="00000000" w14:paraId="0000000B">
      <w:pPr>
        <w:ind w:left="4248" w:firstLine="708.0000000000001"/>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0C">
      <w:pPr>
        <w:ind w:left="4320" w:firstLine="720"/>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Asignatura: Proyecto l</w:t>
      </w:r>
    </w:p>
    <w:p w:rsidR="00000000" w:rsidDel="00000000" w:rsidP="00000000" w:rsidRDefault="00000000" w:rsidRPr="00000000" w14:paraId="0000000D">
      <w:pPr>
        <w:ind w:left="4248" w:firstLine="708.0000000000001"/>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0E">
      <w:pPr>
        <w:ind w:left="5040" w:firstLine="0"/>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Profesor: Humberto Urrutia       Lopéz</w:t>
      </w:r>
    </w:p>
    <w:p w:rsidR="00000000" w:rsidDel="00000000" w:rsidP="00000000" w:rsidRDefault="00000000" w:rsidRPr="00000000" w14:paraId="0000000F">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10">
      <w:pPr>
        <w:jc w:val="center"/>
        <w:rPr>
          <w:rFonts w:ascii="Arimo" w:cs="Arimo" w:eastAsia="Arimo" w:hAnsi="Arimo"/>
          <w:b w:val="1"/>
        </w:rPr>
      </w:pPr>
      <w:r w:rsidDel="00000000" w:rsidR="00000000" w:rsidRPr="00000000">
        <w:rPr>
          <w:rFonts w:ascii="Arimo" w:cs="Arimo" w:eastAsia="Arimo" w:hAnsi="Arimo"/>
          <w:b w:val="1"/>
          <w:rtl w:val="0"/>
        </w:rPr>
        <w:t xml:space="preserve">DICIEMBRE – 2023</w:t>
      </w:r>
    </w:p>
    <w:p w:rsidR="00000000" w:rsidDel="00000000" w:rsidP="00000000" w:rsidRDefault="00000000" w:rsidRPr="00000000" w14:paraId="00000011">
      <w:pPr>
        <w:pStyle w:val="Heading1"/>
        <w:ind w:left="360" w:hanging="360"/>
        <w:rPr/>
      </w:pPr>
      <w:bookmarkStart w:colFirst="0" w:colLast="0" w:name="_heading=h.3rdcrjn" w:id="0"/>
      <w:bookmarkEnd w:id="0"/>
      <w:r w:rsidDel="00000000" w:rsidR="00000000" w:rsidRPr="00000000">
        <w:rPr>
          <w:rtl w:val="0"/>
        </w:rPr>
        <w:t xml:space="preserve">Control de modificaciones del documento</w:t>
      </w:r>
    </w:p>
    <w:p w:rsidR="00000000" w:rsidDel="00000000" w:rsidP="00000000" w:rsidRDefault="00000000" w:rsidRPr="00000000" w14:paraId="00000012">
      <w:pPr>
        <w:rPr>
          <w:rFonts w:ascii="Arial" w:cs="Arial" w:eastAsia="Arial" w:hAnsi="Arial"/>
        </w:rPr>
      </w:pPr>
      <w:r w:rsidDel="00000000" w:rsidR="00000000" w:rsidRPr="00000000">
        <w:rPr>
          <w:rtl w:val="0"/>
        </w:rPr>
      </w:r>
    </w:p>
    <w:tbl>
      <w:tblPr>
        <w:tblStyle w:val="Table1"/>
        <w:tblW w:w="48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3"/>
        <w:gridCol w:w="2632"/>
        <w:tblGridChange w:id="0">
          <w:tblGrid>
            <w:gridCol w:w="2183"/>
            <w:gridCol w:w="2632"/>
          </w:tblGrid>
        </w:tblGridChange>
      </w:tblGrid>
      <w:tr>
        <w:trPr>
          <w:cantSplit w:val="0"/>
          <w:trHeight w:val="188" w:hRule="atLeast"/>
          <w:tblHeader w:val="0"/>
        </w:trPr>
        <w:tc>
          <w:tcPr/>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Título</w:t>
            </w:r>
          </w:p>
        </w:tc>
        <w:tc>
          <w:tcPr/>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tl w:val="0"/>
              </w:rPr>
              <w:t xml:space="preserve">Manual de Usuario</w:t>
            </w:r>
          </w:p>
        </w:tc>
      </w:tr>
      <w:tr>
        <w:trPr>
          <w:cantSplit w:val="0"/>
          <w:trHeight w:val="188" w:hRule="atLeast"/>
          <w:tblHeader w:val="0"/>
        </w:trPr>
        <w:tc>
          <w:tcPr/>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 xml:space="preserve">Versión</w:t>
            </w:r>
          </w:p>
        </w:tc>
        <w:tc>
          <w:tcPr/>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rtl w:val="0"/>
              </w:rPr>
              <w:t xml:space="preserve">1.1</w:t>
            </w:r>
          </w:p>
        </w:tc>
      </w:tr>
      <w:tr>
        <w:trPr>
          <w:cantSplit w:val="0"/>
          <w:trHeight w:val="197" w:hRule="atLeast"/>
          <w:tblHeader w:val="0"/>
        </w:trPr>
        <w:tc>
          <w:tcPr/>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tl w:val="0"/>
              </w:rPr>
              <w:t xml:space="preserve">Realizado por:</w:t>
            </w:r>
          </w:p>
        </w:tc>
        <w:tc>
          <w:tcPr/>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rtl w:val="0"/>
              </w:rPr>
              <w:t xml:space="preserve">Fernando Pizarro</w:t>
            </w:r>
          </w:p>
        </w:tc>
      </w:tr>
      <w:tr>
        <w:trPr>
          <w:cantSplit w:val="0"/>
          <w:trHeight w:val="188" w:hRule="atLeast"/>
          <w:tblHeader w:val="0"/>
        </w:trPr>
        <w:tc>
          <w:tcPr/>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 xml:space="preserve">Fecha:</w:t>
            </w:r>
          </w:p>
        </w:tc>
        <w:tc>
          <w:tcPr/>
          <w:p w:rsidR="00000000" w:rsidDel="00000000" w:rsidP="00000000" w:rsidRDefault="00000000" w:rsidRPr="00000000" w14:paraId="0000001A">
            <w:pPr>
              <w:keepNext w:val="1"/>
              <w:rPr>
                <w:rFonts w:ascii="Arial" w:cs="Arial" w:eastAsia="Arial" w:hAnsi="Arial"/>
              </w:rPr>
            </w:pPr>
            <w:r w:rsidDel="00000000" w:rsidR="00000000" w:rsidRPr="00000000">
              <w:rPr>
                <w:rFonts w:ascii="Arial" w:cs="Arial" w:eastAsia="Arial" w:hAnsi="Arial"/>
                <w:rtl w:val="0"/>
              </w:rPr>
              <w:t xml:space="preserve">23/12/2023</w:t>
            </w:r>
          </w:p>
        </w:tc>
      </w:tr>
    </w:tbl>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1"/>
          <w:smallCaps w:val="0"/>
          <w:strike w:val="0"/>
          <w:color w:val="44546a"/>
          <w:sz w:val="18"/>
          <w:szCs w:val="18"/>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Ilustración 1: Manual de usuario.</w:t>
      </w:r>
      <w:r w:rsidDel="00000000" w:rsidR="00000000" w:rsidRPr="00000000">
        <w:rPr>
          <w:rtl w:val="0"/>
        </w:rPr>
      </w:r>
    </w:p>
    <w:tbl>
      <w:tblPr>
        <w:tblStyle w:val="Table2"/>
        <w:tblW w:w="4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3563"/>
        <w:tblGridChange w:id="0">
          <w:tblGrid>
            <w:gridCol w:w="1271"/>
            <w:gridCol w:w="3563"/>
          </w:tblGrid>
        </w:tblGridChange>
      </w:tblGrid>
      <w:tr>
        <w:trPr>
          <w:cantSplit w:val="0"/>
          <w:trHeight w:val="387" w:hRule="atLeast"/>
          <w:tblHeader w:val="0"/>
        </w:trPr>
        <w:tc>
          <w:tcPr>
            <w:gridSpan w:val="2"/>
          </w:tcPr>
          <w:p w:rsidR="00000000" w:rsidDel="00000000" w:rsidP="00000000" w:rsidRDefault="00000000" w:rsidRPr="00000000" w14:paraId="0000001C">
            <w:pPr>
              <w:jc w:val="center"/>
              <w:rPr>
                <w:rFonts w:ascii="Arial" w:cs="Arial" w:eastAsia="Arial" w:hAnsi="Arial"/>
              </w:rPr>
            </w:pPr>
            <w:r w:rsidDel="00000000" w:rsidR="00000000" w:rsidRPr="00000000">
              <w:rPr>
                <w:rFonts w:ascii="Arial" w:cs="Arial" w:eastAsia="Arial" w:hAnsi="Arial"/>
                <w:rtl w:val="0"/>
              </w:rPr>
              <w:t xml:space="preserve">Control de Versiones</w:t>
            </w:r>
          </w:p>
        </w:tc>
      </w:tr>
      <w:tr>
        <w:trPr>
          <w:cantSplit w:val="0"/>
          <w:trHeight w:val="387" w:hRule="atLeast"/>
          <w:tblHeader w:val="0"/>
        </w:trPr>
        <w:tc>
          <w:tcPr/>
          <w:p w:rsidR="00000000" w:rsidDel="00000000" w:rsidP="00000000" w:rsidRDefault="00000000" w:rsidRPr="00000000" w14:paraId="0000001E">
            <w:pPr>
              <w:jc w:val="center"/>
              <w:rPr>
                <w:rFonts w:ascii="Arial" w:cs="Arial" w:eastAsia="Arial" w:hAnsi="Arial"/>
              </w:rPr>
            </w:pPr>
            <w:r w:rsidDel="00000000" w:rsidR="00000000" w:rsidRPr="00000000">
              <w:rPr>
                <w:rFonts w:ascii="Arial" w:cs="Arial" w:eastAsia="Arial" w:hAnsi="Arial"/>
                <w:rtl w:val="0"/>
              </w:rPr>
              <w:t xml:space="preserve">Versión</w:t>
            </w:r>
          </w:p>
        </w:tc>
        <w:tc>
          <w:tcPr/>
          <w:p w:rsidR="00000000" w:rsidDel="00000000" w:rsidP="00000000" w:rsidRDefault="00000000" w:rsidRPr="00000000" w14:paraId="0000001F">
            <w:pPr>
              <w:jc w:val="center"/>
              <w:rPr>
                <w:rFonts w:ascii="Arial" w:cs="Arial" w:eastAsia="Arial" w:hAnsi="Arial"/>
              </w:rPr>
            </w:pPr>
            <w:r w:rsidDel="00000000" w:rsidR="00000000" w:rsidRPr="00000000">
              <w:rPr>
                <w:rFonts w:ascii="Arial" w:cs="Arial" w:eastAsia="Arial" w:hAnsi="Arial"/>
                <w:rtl w:val="0"/>
              </w:rPr>
              <w:t xml:space="preserve">Descripción</w:t>
            </w:r>
          </w:p>
        </w:tc>
      </w:tr>
      <w:tr>
        <w:trPr>
          <w:cantSplit w:val="0"/>
          <w:trHeight w:val="404" w:hRule="atLeast"/>
          <w:tblHeader w:val="0"/>
        </w:trPr>
        <w:tc>
          <w:tcPr/>
          <w:p w:rsidR="00000000" w:rsidDel="00000000" w:rsidP="00000000" w:rsidRDefault="00000000" w:rsidRPr="00000000" w14:paraId="00000020">
            <w:pPr>
              <w:jc w:val="center"/>
              <w:rPr>
                <w:rFonts w:ascii="Arial" w:cs="Arial" w:eastAsia="Arial" w:hAnsi="Arial"/>
              </w:rPr>
            </w:pPr>
            <w:r w:rsidDel="00000000" w:rsidR="00000000" w:rsidRPr="00000000">
              <w:rPr>
                <w:rFonts w:ascii="Arial" w:cs="Arial" w:eastAsia="Arial" w:hAnsi="Arial"/>
                <w:rtl w:val="0"/>
              </w:rPr>
              <w:t xml:space="preserve">1.0</w:t>
            </w:r>
          </w:p>
        </w:tc>
        <w:tc>
          <w:tcPr/>
          <w:p w:rsidR="00000000" w:rsidDel="00000000" w:rsidP="00000000" w:rsidRDefault="00000000" w:rsidRPr="00000000" w14:paraId="00000021">
            <w:pPr>
              <w:jc w:val="center"/>
              <w:rPr>
                <w:rFonts w:ascii="Arial" w:cs="Arial" w:eastAsia="Arial" w:hAnsi="Arial"/>
              </w:rPr>
            </w:pPr>
            <w:r w:rsidDel="00000000" w:rsidR="00000000" w:rsidRPr="00000000">
              <w:rPr>
                <w:rFonts w:ascii="Arial" w:cs="Arial" w:eastAsia="Arial" w:hAnsi="Arial"/>
                <w:rtl w:val="0"/>
              </w:rPr>
              <w:t xml:space="preserve">Documento inicial</w:t>
            </w:r>
          </w:p>
        </w:tc>
      </w:tr>
      <w:tr>
        <w:trPr>
          <w:cantSplit w:val="0"/>
          <w:trHeight w:val="387" w:hRule="atLeast"/>
          <w:tblHeader w:val="0"/>
        </w:trPr>
        <w:tc>
          <w:tcPr/>
          <w:p w:rsidR="00000000" w:rsidDel="00000000" w:rsidP="00000000" w:rsidRDefault="00000000" w:rsidRPr="00000000" w14:paraId="00000022">
            <w:pPr>
              <w:jc w:val="center"/>
              <w:rPr>
                <w:rFonts w:ascii="Arial" w:cs="Arial" w:eastAsia="Arial" w:hAnsi="Arial"/>
              </w:rPr>
            </w:pPr>
            <w:r w:rsidDel="00000000" w:rsidR="00000000" w:rsidRPr="00000000">
              <w:rPr>
                <w:rFonts w:ascii="Arial" w:cs="Arial" w:eastAsia="Arial" w:hAnsi="Arial"/>
                <w:rtl w:val="0"/>
              </w:rPr>
              <w:t xml:space="preserve">1.1</w:t>
            </w:r>
          </w:p>
        </w:tc>
        <w:tc>
          <w:tcPr/>
          <w:p w:rsidR="00000000" w:rsidDel="00000000" w:rsidP="00000000" w:rsidRDefault="00000000" w:rsidRPr="00000000" w14:paraId="00000023">
            <w:pPr>
              <w:keepNext w:val="1"/>
              <w:jc w:val="center"/>
              <w:rPr>
                <w:rFonts w:ascii="Arial" w:cs="Arial" w:eastAsia="Arial" w:hAnsi="Arial"/>
              </w:rPr>
            </w:pPr>
            <w:r w:rsidDel="00000000" w:rsidR="00000000" w:rsidRPr="00000000">
              <w:rPr>
                <w:rFonts w:ascii="Arial" w:cs="Arial" w:eastAsia="Arial" w:hAnsi="Arial"/>
                <w:rtl w:val="0"/>
              </w:rPr>
              <w:t xml:space="preserve">Documento final</w:t>
            </w:r>
          </w:p>
        </w:tc>
      </w:tr>
    </w:tbl>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Ilustración 2: Control de versiones.</w:t>
      </w:r>
    </w:p>
    <w:p w:rsidR="00000000" w:rsidDel="00000000" w:rsidP="00000000" w:rsidRDefault="00000000" w:rsidRPr="00000000" w14:paraId="00000025">
      <w:pPr>
        <w:rPr>
          <w:rFonts w:ascii="Arial" w:cs="Arial" w:eastAsia="Arial" w:hAnsi="Arial"/>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6">
      <w:pPr>
        <w:keepNext w:val="1"/>
        <w:keepLines w:val="1"/>
        <w:pBdr>
          <w:top w:space="0" w:sz="0" w:val="nil"/>
          <w:left w:space="0" w:sz="0" w:val="nil"/>
          <w:bottom w:space="0" w:sz="0" w:val="nil"/>
          <w:right w:space="0" w:sz="0" w:val="nil"/>
          <w:between w:space="0" w:sz="0" w:val="nil"/>
        </w:pBdr>
        <w:spacing w:after="0" w:before="240" w:lineRule="auto"/>
        <w:rPr>
          <w:rFonts w:ascii="Arial" w:cs="Arial" w:eastAsia="Arial" w:hAnsi="Arial"/>
          <w:color w:val="000000"/>
          <w:sz w:val="28"/>
          <w:szCs w:val="28"/>
        </w:rPr>
      </w:pPr>
      <w:r w:rsidDel="00000000" w:rsidR="00000000" w:rsidRPr="00000000">
        <w:rPr>
          <w:rFonts w:ascii="Arial" w:cs="Arial" w:eastAsia="Arial" w:hAnsi="Arial"/>
          <w:color w:val="000000"/>
          <w:sz w:val="32"/>
          <w:szCs w:val="32"/>
          <w:rtl w:val="0"/>
        </w:rPr>
        <w:t xml:space="preserve">Índice</w:t>
      </w:r>
      <w:r w:rsidDel="00000000" w:rsidR="00000000" w:rsidRPr="00000000">
        <w:rPr>
          <w:rFonts w:ascii="Arial" w:cs="Arial" w:eastAsia="Arial" w:hAnsi="Arial"/>
          <w:color w:val="000000"/>
          <w:sz w:val="28"/>
          <w:szCs w:val="28"/>
          <w:rtl w:val="0"/>
        </w:rPr>
        <w:br w:type="textWrapping"/>
      </w:r>
    </w:p>
    <w:sdt>
      <w:sdtPr>
        <w:docPartObj>
          <w:docPartGallery w:val="Table of Contents"/>
          <w:docPartUnique w:val="1"/>
        </w:docPartObj>
      </w:sdtPr>
      <w:sdtContent>
        <w:p w:rsidR="00000000" w:rsidDel="00000000" w:rsidP="00000000" w:rsidRDefault="00000000" w:rsidRPr="00000000" w14:paraId="00000027">
          <w:pPr>
            <w:widowControl w:val="0"/>
            <w:tabs>
              <w:tab w:val="right" w:leader="none" w:pos="12000"/>
            </w:tabs>
            <w:spacing w:after="0" w:before="60" w:line="240" w:lineRule="auto"/>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rdcrjn">
            <w:r w:rsidDel="00000000" w:rsidR="00000000" w:rsidRPr="00000000">
              <w:rPr>
                <w:b w:val="1"/>
                <w:i w:val="0"/>
                <w:smallCaps w:val="0"/>
                <w:strike w:val="0"/>
                <w:color w:val="000000"/>
                <w:sz w:val="24"/>
                <w:szCs w:val="24"/>
                <w:u w:val="none"/>
                <w:shd w:fill="auto" w:val="clear"/>
                <w:vertAlign w:val="baseline"/>
                <w:rtl w:val="0"/>
              </w:rPr>
              <w:t xml:space="preserve">Control de modificaciones del documento</w:t>
              <w:tab/>
              <w:t xml:space="preserve">2</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Introducción</w:t>
              <w:tab/>
              <w:t xml:space="preserve">4</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Concepto de los roles y operaciones</w:t>
              <w:tab/>
              <w:t xml:space="preserve">5</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Requerimientos</w:t>
              <w:tab/>
              <w:t xml:space="preserve">6</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Procedimientos</w:t>
              <w:tab/>
              <w:t xml:space="preserve">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pStyle w:val="Heading1"/>
        <w:ind w:left="0" w:firstLine="0"/>
        <w:rPr/>
      </w:pPr>
      <w:bookmarkStart w:colFirst="0" w:colLast="0" w:name="_heading=h.95nvzgeyz46c" w:id="3"/>
      <w:bookmarkEnd w:id="3"/>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Style w:val="Heading1"/>
        <w:numPr>
          <w:ilvl w:val="0"/>
          <w:numId w:val="1"/>
        </w:numPr>
        <w:ind w:left="360" w:hanging="360"/>
        <w:rPr/>
      </w:pPr>
      <w:bookmarkStart w:colFirst="0" w:colLast="0" w:name="_heading=h.3j2qqm3" w:id="4"/>
      <w:bookmarkEnd w:id="4"/>
      <w:r w:rsidDel="00000000" w:rsidR="00000000" w:rsidRPr="00000000">
        <w:rPr>
          <w:rtl w:val="0"/>
        </w:rPr>
        <w:t xml:space="preserve">Introducción</w:t>
      </w:r>
    </w:p>
    <w:p w:rsidR="00000000" w:rsidDel="00000000" w:rsidP="00000000" w:rsidRDefault="00000000" w:rsidRPr="00000000" w14:paraId="00000044">
      <w:pPr>
        <w:rPr/>
      </w:pPr>
      <w:r w:rsidDel="00000000" w:rsidR="00000000" w:rsidRPr="00000000">
        <w:rPr>
          <w:rtl w:val="0"/>
        </w:rPr>
        <w:t xml:space="preserve">Este documento corresponde al manual de usuario de  “Golffenheimer V1”, donde se explica el funcionamiento del software del mismo, incluyendo su instalación, uso, y detalles pertinentes a su funcionamiento.</w:t>
      </w:r>
    </w:p>
    <w:p w:rsidR="00000000" w:rsidDel="00000000" w:rsidP="00000000" w:rsidRDefault="00000000" w:rsidRPr="00000000" w14:paraId="00000045">
      <w:pPr>
        <w:rPr/>
      </w:pPr>
      <w:r w:rsidDel="00000000" w:rsidR="00000000" w:rsidRPr="00000000">
        <w:rPr>
          <w:rtl w:val="0"/>
        </w:rPr>
        <w:t xml:space="preserve">Este manual va orientado a los usuarios que hagan uso de la interfaz, ya sean o no alumnos pertenecientes a la Universidad De Tarapacá.</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371475</wp:posOffset>
            </wp:positionH>
            <wp:positionV relativeFrom="paragraph">
              <wp:posOffset>332046</wp:posOffset>
            </wp:positionV>
            <wp:extent cx="4876800" cy="4876800"/>
            <wp:effectExtent b="0" l="0" r="0" t="0"/>
            <wp:wrapNone/>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876800" cy="4876800"/>
                    </a:xfrm>
                    <a:prstGeom prst="rect"/>
                    <a:ln/>
                  </pic:spPr>
                </pic:pic>
              </a:graphicData>
            </a:graphic>
          </wp:anchor>
        </w:drawing>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rFonts w:ascii="Arial" w:cs="Arial" w:eastAsia="Arial" w:hAnsi="Arial"/>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numPr>
          <w:ilvl w:val="0"/>
          <w:numId w:val="1"/>
        </w:numPr>
        <w:ind w:left="360" w:hanging="360"/>
        <w:rPr/>
      </w:pPr>
      <w:bookmarkStart w:colFirst="0" w:colLast="0" w:name="_heading=h.1y810tw" w:id="5"/>
      <w:bookmarkEnd w:id="5"/>
      <w:r w:rsidDel="00000000" w:rsidR="00000000" w:rsidRPr="00000000">
        <w:rPr>
          <w:rtl w:val="0"/>
        </w:rPr>
        <w:t xml:space="preserve">Concepto de los roles y operaciones</w:t>
        <w:br w:type="textWrapping"/>
      </w:r>
    </w:p>
    <w:sdt>
      <w:sdtPr>
        <w:tag w:val="goog_rdk_0"/>
      </w:sdtPr>
      <w:sdtContent>
        <w:p w:rsidR="00000000" w:rsidDel="00000000" w:rsidP="00000000" w:rsidRDefault="00000000" w:rsidRPr="00000000" w14:paraId="0000004D">
          <w:pPr>
            <w:pStyle w:val="Heading1"/>
            <w:ind w:left="0" w:firstLine="0"/>
            <w:rPr/>
          </w:pPr>
          <w:bookmarkStart w:colFirst="0" w:colLast="0" w:name="_heading=h.hlqjgbwd0c9y" w:id="6"/>
          <w:bookmarkEnd w:id="6"/>
          <w:r w:rsidDel="00000000" w:rsidR="00000000" w:rsidRPr="00000000">
            <w:rPr>
              <w:rtl w:val="0"/>
            </w:rPr>
            <w:t xml:space="preserve"> Descripción de los roles</w:t>
          </w:r>
        </w:p>
      </w:sdtContent>
    </w:sdt>
    <w:tbl>
      <w:tblPr>
        <w:tblStyle w:val="Table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7178"/>
        <w:tblGridChange w:id="0">
          <w:tblGrid>
            <w:gridCol w:w="1838"/>
            <w:gridCol w:w="7178"/>
          </w:tblGrid>
        </w:tblGridChange>
      </w:tblGrid>
      <w:tr>
        <w:trPr>
          <w:cantSplit w:val="0"/>
          <w:tblHeader w:val="0"/>
        </w:trPr>
        <w:tc>
          <w:tcPr/>
          <w:p w:rsidR="00000000" w:rsidDel="00000000" w:rsidP="00000000" w:rsidRDefault="00000000" w:rsidRPr="00000000" w14:paraId="0000004E">
            <w:pPr>
              <w:jc w:val="center"/>
              <w:rPr/>
            </w:pPr>
            <w:r w:rsidDel="00000000" w:rsidR="00000000" w:rsidRPr="00000000">
              <w:rPr>
                <w:rtl w:val="0"/>
              </w:rPr>
              <w:t xml:space="preserve">Rol</w:t>
            </w:r>
          </w:p>
        </w:tc>
        <w:tc>
          <w:tcPr/>
          <w:p w:rsidR="00000000" w:rsidDel="00000000" w:rsidP="00000000" w:rsidRDefault="00000000" w:rsidRPr="00000000" w14:paraId="0000004F">
            <w:pPr>
              <w:jc w:val="center"/>
              <w:rPr/>
            </w:pPr>
            <w:r w:rsidDel="00000000" w:rsidR="00000000" w:rsidRPr="00000000">
              <w:rPr>
                <w:rtl w:val="0"/>
              </w:rPr>
              <w:t xml:space="preserve">Descripción</w:t>
            </w:r>
          </w:p>
        </w:tc>
      </w:tr>
      <w:tr>
        <w:trPr>
          <w:cantSplit w:val="0"/>
          <w:trHeight w:val="497" w:hRule="atLeast"/>
          <w:tblHeader w:val="0"/>
        </w:trPr>
        <w:tc>
          <w:tcPr/>
          <w:p w:rsidR="00000000" w:rsidDel="00000000" w:rsidP="00000000" w:rsidRDefault="00000000" w:rsidRPr="00000000" w14:paraId="00000050">
            <w:pPr>
              <w:jc w:val="center"/>
              <w:rPr/>
            </w:pPr>
            <w:r w:rsidDel="00000000" w:rsidR="00000000" w:rsidRPr="00000000">
              <w:rPr>
                <w:rtl w:val="0"/>
              </w:rPr>
              <w:t xml:space="preserve">Usuario</w:t>
            </w:r>
          </w:p>
        </w:tc>
        <w:tc>
          <w:tcPr/>
          <w:p w:rsidR="00000000" w:rsidDel="00000000" w:rsidP="00000000" w:rsidRDefault="00000000" w:rsidRPr="00000000" w14:paraId="00000051">
            <w:pPr>
              <w:rPr/>
            </w:pPr>
            <w:r w:rsidDel="00000000" w:rsidR="00000000" w:rsidRPr="00000000">
              <w:rPr>
                <w:rtl w:val="0"/>
              </w:rPr>
              <w:t xml:space="preserve">Controla desde la interfaz gráfica al robot.</w:t>
            </w:r>
          </w:p>
        </w:tc>
      </w:tr>
    </w:tbl>
    <w:sdt>
      <w:sdtPr>
        <w:tag w:val="goog_rdk_1"/>
      </w:sdtPr>
      <w:sdtContent>
        <w:p w:rsidR="00000000" w:rsidDel="00000000" w:rsidP="00000000" w:rsidRDefault="00000000" w:rsidRPr="00000000" w14:paraId="00000052">
          <w:pPr>
            <w:pStyle w:val="Heading1"/>
            <w:ind w:left="0" w:firstLine="0"/>
            <w:rPr/>
          </w:pPr>
          <w:bookmarkStart w:colFirst="0" w:colLast="0" w:name="_heading=h.2xcytpi" w:id="7"/>
          <w:bookmarkEnd w:id="7"/>
          <w:r w:rsidDel="00000000" w:rsidR="00000000" w:rsidRPr="00000000">
            <w:rPr>
              <w:rtl w:val="0"/>
            </w:rPr>
            <w:t xml:space="preserve">Descripción de las operaciones</w:t>
          </w:r>
        </w:p>
      </w:sdtContent>
    </w:sdt>
    <w:tbl>
      <w:tblPr>
        <w:tblStyle w:val="Table4"/>
        <w:tblW w:w="91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5098"/>
        <w:gridCol w:w="2462"/>
        <w:tblGridChange w:id="0">
          <w:tblGrid>
            <w:gridCol w:w="1560"/>
            <w:gridCol w:w="5098"/>
            <w:gridCol w:w="2462"/>
          </w:tblGrid>
        </w:tblGridChange>
      </w:tblGrid>
      <w:tr>
        <w:trPr>
          <w:cantSplit w:val="0"/>
          <w:tblHeader w:val="0"/>
        </w:trPr>
        <w:tc>
          <w:tcPr/>
          <w:p w:rsidR="00000000" w:rsidDel="00000000" w:rsidP="00000000" w:rsidRDefault="00000000" w:rsidRPr="00000000" w14:paraId="00000053">
            <w:pPr>
              <w:jc w:val="center"/>
              <w:rPr/>
            </w:pPr>
            <w:r w:rsidDel="00000000" w:rsidR="00000000" w:rsidRPr="00000000">
              <w:rPr>
                <w:rtl w:val="0"/>
              </w:rPr>
              <w:t xml:space="preserve">Operación</w:t>
            </w:r>
          </w:p>
        </w:tc>
        <w:tc>
          <w:tcPr/>
          <w:p w:rsidR="00000000" w:rsidDel="00000000" w:rsidP="00000000" w:rsidRDefault="00000000" w:rsidRPr="00000000" w14:paraId="00000054">
            <w:pPr>
              <w:jc w:val="center"/>
              <w:rPr/>
            </w:pPr>
            <w:r w:rsidDel="00000000" w:rsidR="00000000" w:rsidRPr="00000000">
              <w:rPr>
                <w:rtl w:val="0"/>
              </w:rPr>
              <w:t xml:space="preserve">Descripción</w:t>
            </w:r>
          </w:p>
        </w:tc>
        <w:tc>
          <w:tcPr/>
          <w:p w:rsidR="00000000" w:rsidDel="00000000" w:rsidP="00000000" w:rsidRDefault="00000000" w:rsidRPr="00000000" w14:paraId="00000055">
            <w:pPr>
              <w:jc w:val="center"/>
              <w:rPr/>
            </w:pPr>
            <w:r w:rsidDel="00000000" w:rsidR="00000000" w:rsidRPr="00000000">
              <w:rPr>
                <w:rtl w:val="0"/>
              </w:rPr>
              <w:t xml:space="preserve">Rol encargado</w:t>
            </w:r>
          </w:p>
        </w:tc>
      </w:tr>
      <w:tr>
        <w:trPr>
          <w:cantSplit w:val="0"/>
          <w:tblHeader w:val="0"/>
        </w:trPr>
        <w:tc>
          <w:tcPr/>
          <w:p w:rsidR="00000000" w:rsidDel="00000000" w:rsidP="00000000" w:rsidRDefault="00000000" w:rsidRPr="00000000" w14:paraId="00000056">
            <w:pPr>
              <w:rPr/>
            </w:pPr>
            <w:r w:rsidDel="00000000" w:rsidR="00000000" w:rsidRPr="00000000">
              <w:rPr>
                <w:rtl w:val="0"/>
              </w:rPr>
              <w:t xml:space="preserve">Movimientos</w:t>
            </w:r>
          </w:p>
        </w:tc>
        <w:tc>
          <w:tcPr/>
          <w:p w:rsidR="00000000" w:rsidDel="00000000" w:rsidP="00000000" w:rsidRDefault="00000000" w:rsidRPr="00000000" w14:paraId="00000057">
            <w:pPr>
              <w:rPr/>
            </w:pPr>
            <w:r w:rsidDel="00000000" w:rsidR="00000000" w:rsidRPr="00000000">
              <w:rPr>
                <w:rtl w:val="0"/>
              </w:rPr>
              <w:t xml:space="preserve">Permite que el robot se mueva en las cuatro direcciones (adelante, atrás, derecha e izquierda)</w:t>
            </w:r>
          </w:p>
        </w:tc>
        <w:tc>
          <w:tcPr/>
          <w:p w:rsidR="00000000" w:rsidDel="00000000" w:rsidP="00000000" w:rsidRDefault="00000000" w:rsidRPr="00000000" w14:paraId="00000058">
            <w:pPr>
              <w:rPr/>
            </w:pPr>
            <w:r w:rsidDel="00000000" w:rsidR="00000000" w:rsidRPr="00000000">
              <w:rPr>
                <w:rtl w:val="0"/>
              </w:rPr>
              <w:t xml:space="preserve">Usuario</w:t>
            </w:r>
          </w:p>
        </w:tc>
      </w:tr>
      <w:tr>
        <w:trPr>
          <w:cantSplit w:val="0"/>
          <w:tblHeader w:val="0"/>
        </w:trPr>
        <w:tc>
          <w:tcPr/>
          <w:p w:rsidR="00000000" w:rsidDel="00000000" w:rsidP="00000000" w:rsidRDefault="00000000" w:rsidRPr="00000000" w14:paraId="00000059">
            <w:pPr>
              <w:rPr/>
            </w:pPr>
            <w:r w:rsidDel="00000000" w:rsidR="00000000" w:rsidRPr="00000000">
              <w:rPr>
                <w:rtl w:val="0"/>
              </w:rPr>
              <w:t xml:space="preserve">Golpear</w:t>
            </w:r>
          </w:p>
        </w:tc>
        <w:tc>
          <w:tcPr/>
          <w:p w:rsidR="00000000" w:rsidDel="00000000" w:rsidP="00000000" w:rsidRDefault="00000000" w:rsidRPr="00000000" w14:paraId="0000005A">
            <w:pPr>
              <w:rPr/>
            </w:pPr>
            <w:r w:rsidDel="00000000" w:rsidR="00000000" w:rsidRPr="00000000">
              <w:rPr>
                <w:rtl w:val="0"/>
              </w:rPr>
              <w:t xml:space="preserve">Realiza un golpe con el robot.</w:t>
            </w:r>
          </w:p>
        </w:tc>
        <w:tc>
          <w:tcPr/>
          <w:p w:rsidR="00000000" w:rsidDel="00000000" w:rsidP="00000000" w:rsidRDefault="00000000" w:rsidRPr="00000000" w14:paraId="0000005B">
            <w:pPr>
              <w:rPr/>
            </w:pPr>
            <w:r w:rsidDel="00000000" w:rsidR="00000000" w:rsidRPr="00000000">
              <w:rPr>
                <w:rtl w:val="0"/>
              </w:rPr>
              <w:t xml:space="preserve">Usuario</w:t>
            </w:r>
          </w:p>
        </w:tc>
      </w:tr>
      <w:tr>
        <w:trPr>
          <w:cantSplit w:val="0"/>
          <w:tblHeader w:val="0"/>
        </w:trPr>
        <w:tc>
          <w:tcPr/>
          <w:p w:rsidR="00000000" w:rsidDel="00000000" w:rsidP="00000000" w:rsidRDefault="00000000" w:rsidRPr="00000000" w14:paraId="0000005C">
            <w:pPr>
              <w:rPr/>
            </w:pPr>
            <w:r w:rsidDel="00000000" w:rsidR="00000000" w:rsidRPr="00000000">
              <w:rPr>
                <w:rtl w:val="0"/>
              </w:rPr>
              <w:t xml:space="preserve">Conectar con el servidor</w:t>
            </w:r>
          </w:p>
        </w:tc>
        <w:tc>
          <w:tcPr/>
          <w:p w:rsidR="00000000" w:rsidDel="00000000" w:rsidP="00000000" w:rsidRDefault="00000000" w:rsidRPr="00000000" w14:paraId="0000005D">
            <w:pPr>
              <w:rPr/>
            </w:pPr>
            <w:r w:rsidDel="00000000" w:rsidR="00000000" w:rsidRPr="00000000">
              <w:rPr>
                <w:rtl w:val="0"/>
              </w:rPr>
              <w:t xml:space="preserve">Conectar el robot al servidor y también la interfaz para que pueda funcionar correctamente</w:t>
            </w:r>
          </w:p>
        </w:tc>
        <w:tc>
          <w:tcPr/>
          <w:p w:rsidR="00000000" w:rsidDel="00000000" w:rsidP="00000000" w:rsidRDefault="00000000" w:rsidRPr="00000000" w14:paraId="0000005E">
            <w:pPr>
              <w:rPr/>
            </w:pPr>
            <w:r w:rsidDel="00000000" w:rsidR="00000000" w:rsidRPr="00000000">
              <w:rPr>
                <w:rtl w:val="0"/>
              </w:rPr>
              <w:t xml:space="preserve">Usuario</w:t>
            </w:r>
          </w:p>
        </w:tc>
      </w:tr>
      <w:tr>
        <w:trPr>
          <w:cantSplit w:val="0"/>
          <w:trHeight w:val="283.5546875" w:hRule="atLeast"/>
          <w:tblHeader w:val="0"/>
        </w:trPr>
        <w:tc>
          <w:tcPr/>
          <w:p w:rsidR="00000000" w:rsidDel="00000000" w:rsidP="00000000" w:rsidRDefault="00000000" w:rsidRPr="00000000" w14:paraId="0000005F">
            <w:pPr>
              <w:rPr/>
            </w:pPr>
            <w:r w:rsidDel="00000000" w:rsidR="00000000" w:rsidRPr="00000000">
              <w:rPr>
                <w:rtl w:val="0"/>
              </w:rPr>
              <w:t xml:space="preserve">On/Off</w:t>
            </w:r>
          </w:p>
        </w:tc>
        <w:tc>
          <w:tcPr/>
          <w:p w:rsidR="00000000" w:rsidDel="00000000" w:rsidP="00000000" w:rsidRDefault="00000000" w:rsidRPr="00000000" w14:paraId="00000060">
            <w:pPr>
              <w:rPr/>
            </w:pPr>
            <w:r w:rsidDel="00000000" w:rsidR="00000000" w:rsidRPr="00000000">
              <w:rPr>
                <w:rtl w:val="0"/>
              </w:rPr>
              <w:t xml:space="preserve">Cierra la interfaz gráfica</w:t>
            </w:r>
          </w:p>
        </w:tc>
        <w:tc>
          <w:tcPr/>
          <w:p w:rsidR="00000000" w:rsidDel="00000000" w:rsidP="00000000" w:rsidRDefault="00000000" w:rsidRPr="00000000" w14:paraId="00000061">
            <w:pPr>
              <w:rPr/>
            </w:pPr>
            <w:r w:rsidDel="00000000" w:rsidR="00000000" w:rsidRPr="00000000">
              <w:rPr>
                <w:rtl w:val="0"/>
              </w:rPr>
              <w:t xml:space="preserve">Usuario</w:t>
            </w:r>
          </w:p>
        </w:tc>
      </w:tr>
    </w:tbl>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rFonts w:ascii="Arial" w:cs="Arial" w:eastAsia="Arial" w:hAnsi="Arial"/>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1"/>
        <w:numPr>
          <w:ilvl w:val="0"/>
          <w:numId w:val="1"/>
        </w:numPr>
        <w:ind w:left="360" w:hanging="360"/>
        <w:rPr/>
      </w:pPr>
      <w:bookmarkStart w:colFirst="0" w:colLast="0" w:name="_heading=h.1ci93xb" w:id="8"/>
      <w:bookmarkEnd w:id="8"/>
      <w:r w:rsidDel="00000000" w:rsidR="00000000" w:rsidRPr="00000000">
        <w:rPr>
          <w:rtl w:val="0"/>
        </w:rPr>
        <w:t xml:space="preserve">Requerimientos</w:t>
      </w:r>
    </w:p>
    <w:p w:rsidR="00000000" w:rsidDel="00000000" w:rsidP="00000000" w:rsidRDefault="00000000" w:rsidRPr="00000000" w14:paraId="00000065">
      <w:pPr>
        <w:rPr>
          <w:sz w:val="24"/>
          <w:szCs w:val="24"/>
        </w:rPr>
      </w:pPr>
      <w:r w:rsidDel="00000000" w:rsidR="00000000" w:rsidRPr="00000000">
        <w:rPr>
          <w:sz w:val="24"/>
          <w:szCs w:val="24"/>
          <w:rtl w:val="0"/>
        </w:rPr>
        <w:t xml:space="preserve">Los requerimientos mínimos para el funcionamiento de el software “Golffenheimer V1”, son los siguientes:</w:t>
      </w:r>
    </w:p>
    <w:p w:rsidR="00000000" w:rsidDel="00000000" w:rsidP="00000000" w:rsidRDefault="00000000" w:rsidRPr="00000000" w14:paraId="00000066">
      <w:pPr>
        <w:numPr>
          <w:ilvl w:val="0"/>
          <w:numId w:val="2"/>
        </w:numPr>
        <w:pBdr>
          <w:top w:space="0" w:sz="0" w:val="nil"/>
          <w:left w:space="0" w:sz="0" w:val="nil"/>
          <w:bottom w:space="0" w:sz="0" w:val="nil"/>
          <w:right w:space="0" w:sz="0" w:val="nil"/>
          <w:between w:space="0" w:sz="0" w:val="nil"/>
        </w:pBdr>
        <w:spacing w:after="0" w:line="480" w:lineRule="auto"/>
        <w:ind w:left="720" w:hanging="360"/>
        <w:rPr>
          <w:sz w:val="24"/>
          <w:szCs w:val="24"/>
        </w:rPr>
      </w:pPr>
      <w:r w:rsidDel="00000000" w:rsidR="00000000" w:rsidRPr="00000000">
        <w:rPr>
          <w:color w:val="000000"/>
          <w:sz w:val="24"/>
          <w:szCs w:val="24"/>
          <w:rtl w:val="0"/>
        </w:rPr>
        <w:t xml:space="preserve">Conectividad a internet vía Wi-Fi.</w:t>
      </w:r>
      <w:r w:rsidDel="00000000" w:rsidR="00000000" w:rsidRPr="00000000">
        <w:rPr>
          <w:rtl w:val="0"/>
        </w:rPr>
      </w:r>
    </w:p>
    <w:p w:rsidR="00000000" w:rsidDel="00000000" w:rsidP="00000000" w:rsidRDefault="00000000" w:rsidRPr="00000000" w14:paraId="00000067">
      <w:pPr>
        <w:numPr>
          <w:ilvl w:val="0"/>
          <w:numId w:val="2"/>
        </w:numPr>
        <w:pBdr>
          <w:top w:space="0" w:sz="0" w:val="nil"/>
          <w:left w:space="0" w:sz="0" w:val="nil"/>
          <w:bottom w:space="0" w:sz="0" w:val="nil"/>
          <w:right w:space="0" w:sz="0" w:val="nil"/>
          <w:between w:space="0" w:sz="0" w:val="nil"/>
        </w:pBdr>
        <w:spacing w:after="0" w:line="480" w:lineRule="auto"/>
        <w:ind w:left="720" w:hanging="360"/>
        <w:rPr>
          <w:color w:val="000000"/>
          <w:sz w:val="24"/>
          <w:szCs w:val="24"/>
        </w:rPr>
      </w:pPr>
      <w:r w:rsidDel="00000000" w:rsidR="00000000" w:rsidRPr="00000000">
        <w:rPr>
          <w:color w:val="000000"/>
          <w:sz w:val="24"/>
          <w:szCs w:val="24"/>
          <w:rtl w:val="0"/>
        </w:rPr>
        <w:t xml:space="preserve">Robot “</w:t>
      </w:r>
      <w:r w:rsidDel="00000000" w:rsidR="00000000" w:rsidRPr="00000000">
        <w:rPr>
          <w:sz w:val="24"/>
          <w:szCs w:val="24"/>
          <w:rtl w:val="0"/>
        </w:rPr>
        <w:t xml:space="preserve">Golffenheimer</w:t>
      </w:r>
      <w:r w:rsidDel="00000000" w:rsidR="00000000" w:rsidRPr="00000000">
        <w:rPr>
          <w:color w:val="000000"/>
          <w:sz w:val="24"/>
          <w:szCs w:val="24"/>
          <w:rtl w:val="0"/>
        </w:rPr>
        <w:t xml:space="preserve">”. (Construido con L</w:t>
      </w:r>
      <w:r w:rsidDel="00000000" w:rsidR="00000000" w:rsidRPr="00000000">
        <w:rPr>
          <w:sz w:val="24"/>
          <w:szCs w:val="24"/>
          <w:rtl w:val="0"/>
        </w:rPr>
        <w:t xml:space="preserve">EGO</w:t>
      </w:r>
      <w:r w:rsidDel="00000000" w:rsidR="00000000" w:rsidRPr="00000000">
        <w:rPr>
          <w:color w:val="000000"/>
          <w:sz w:val="24"/>
          <w:szCs w:val="24"/>
          <w:rtl w:val="0"/>
        </w:rPr>
        <w:t xml:space="preserve"> M</w:t>
      </w:r>
      <w:r w:rsidDel="00000000" w:rsidR="00000000" w:rsidRPr="00000000">
        <w:rPr>
          <w:sz w:val="24"/>
          <w:szCs w:val="24"/>
          <w:rtl w:val="0"/>
        </w:rPr>
        <w:t xml:space="preserve">INDSTORMS</w:t>
      </w:r>
      <w:r w:rsidDel="00000000" w:rsidR="00000000" w:rsidRPr="00000000">
        <w:rPr>
          <w:color w:val="000000"/>
          <w:sz w:val="24"/>
          <w:szCs w:val="24"/>
          <w:rtl w:val="0"/>
        </w:rPr>
        <w:t xml:space="preserve"> EV3)</w:t>
      </w:r>
    </w:p>
    <w:p w:rsidR="00000000" w:rsidDel="00000000" w:rsidP="00000000" w:rsidRDefault="00000000" w:rsidRPr="00000000" w14:paraId="00000068">
      <w:pPr>
        <w:numPr>
          <w:ilvl w:val="0"/>
          <w:numId w:val="2"/>
        </w:numPr>
        <w:pBdr>
          <w:top w:space="0" w:sz="0" w:val="nil"/>
          <w:left w:space="0" w:sz="0" w:val="nil"/>
          <w:bottom w:space="0" w:sz="0" w:val="nil"/>
          <w:right w:space="0" w:sz="0" w:val="nil"/>
          <w:between w:space="0" w:sz="0" w:val="nil"/>
        </w:pBdr>
        <w:spacing w:after="0" w:line="480" w:lineRule="auto"/>
        <w:ind w:left="720" w:hanging="360"/>
        <w:rPr>
          <w:color w:val="000000"/>
        </w:rPr>
      </w:pPr>
      <w:r w:rsidDel="00000000" w:rsidR="00000000" w:rsidRPr="00000000">
        <w:rPr>
          <w:sz w:val="24"/>
          <w:szCs w:val="24"/>
          <w:rtl w:val="0"/>
        </w:rPr>
        <w:t xml:space="preserve">Archivo comprimido conteniendo todos los archivos necesarios para el funcionamiento del software.</w:t>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spacing w:after="0" w:line="480" w:lineRule="auto"/>
        <w:ind w:left="720" w:hanging="360"/>
        <w:rPr>
          <w:color w:val="000000"/>
        </w:rPr>
      </w:pPr>
      <w:r w:rsidDel="00000000" w:rsidR="00000000" w:rsidRPr="00000000">
        <w:rPr>
          <w:sz w:val="24"/>
          <w:szCs w:val="24"/>
          <w:rtl w:val="0"/>
        </w:rPr>
        <w:t xml:space="preserve">Software que pueda ejecutar código (Se recomienda Visual Studio Code.)</w:t>
      </w:r>
    </w:p>
    <w:p w:rsidR="00000000" w:rsidDel="00000000" w:rsidP="00000000" w:rsidRDefault="00000000" w:rsidRPr="00000000" w14:paraId="0000006A">
      <w:pPr>
        <w:numPr>
          <w:ilvl w:val="0"/>
          <w:numId w:val="2"/>
        </w:numPr>
        <w:pBdr>
          <w:top w:space="0" w:sz="0" w:val="nil"/>
          <w:left w:space="0" w:sz="0" w:val="nil"/>
          <w:bottom w:space="0" w:sz="0" w:val="nil"/>
          <w:right w:space="0" w:sz="0" w:val="nil"/>
          <w:between w:space="0" w:sz="0" w:val="nil"/>
        </w:pBdr>
        <w:spacing w:after="0" w:line="480" w:lineRule="auto"/>
        <w:ind w:left="720" w:hanging="360"/>
        <w:rPr>
          <w:color w:val="000000"/>
        </w:rPr>
      </w:pPr>
      <w:r w:rsidDel="00000000" w:rsidR="00000000" w:rsidRPr="00000000">
        <w:rPr>
          <w:sz w:val="24"/>
          <w:szCs w:val="24"/>
          <w:rtl w:val="0"/>
        </w:rPr>
        <w:t xml:space="preserve">Método para establecer conexiones SSH. (Terminal nativo en Linux, PuTTY en Windows/Mac)</w:t>
      </w:r>
    </w:p>
    <w:p w:rsidR="00000000" w:rsidDel="00000000" w:rsidP="00000000" w:rsidRDefault="00000000" w:rsidRPr="00000000" w14:paraId="0000006B">
      <w:pPr>
        <w:numPr>
          <w:ilvl w:val="0"/>
          <w:numId w:val="2"/>
        </w:numPr>
        <w:pBdr>
          <w:top w:space="0" w:sz="0" w:val="nil"/>
          <w:left w:space="0" w:sz="0" w:val="nil"/>
          <w:bottom w:space="0" w:sz="0" w:val="nil"/>
          <w:right w:space="0" w:sz="0" w:val="nil"/>
          <w:between w:space="0" w:sz="0" w:val="nil"/>
        </w:pBdr>
        <w:spacing w:after="0" w:line="480" w:lineRule="auto"/>
        <w:ind w:left="720" w:hanging="360"/>
        <w:rPr>
          <w:sz w:val="24"/>
          <w:szCs w:val="24"/>
          <w:u w:val="none"/>
        </w:rPr>
      </w:pPr>
      <w:r w:rsidDel="00000000" w:rsidR="00000000" w:rsidRPr="00000000">
        <w:rPr>
          <w:sz w:val="24"/>
          <w:szCs w:val="24"/>
          <w:rtl w:val="0"/>
        </w:rPr>
        <w:t xml:space="preserve">Software para descomprimir archivos .rar (Se recomienda WinRAR)</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480" w:lineRule="auto"/>
        <w:ind w:left="0" w:firstLine="0"/>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1"/>
        <w:numPr>
          <w:ilvl w:val="0"/>
          <w:numId w:val="1"/>
        </w:numPr>
        <w:ind w:left="360" w:hanging="360"/>
        <w:rPr/>
      </w:pPr>
      <w:bookmarkStart w:colFirst="0" w:colLast="0" w:name="_heading=h.3whwml4" w:id="9"/>
      <w:bookmarkEnd w:id="9"/>
      <w:r w:rsidDel="00000000" w:rsidR="00000000" w:rsidRPr="00000000">
        <w:rPr>
          <w:rtl w:val="0"/>
        </w:rPr>
        <w:t xml:space="preserve">Procedimientos</w:t>
      </w:r>
    </w:p>
    <w:p w:rsidR="00000000" w:rsidDel="00000000" w:rsidP="00000000" w:rsidRDefault="00000000" w:rsidRPr="00000000" w14:paraId="0000006E">
      <w:pPr>
        <w:pStyle w:val="Heading1"/>
        <w:ind w:left="0" w:firstLine="0"/>
        <w:rPr/>
      </w:pPr>
      <w:bookmarkStart w:colFirst="0" w:colLast="0" w:name="_heading=h.2bn6wsx" w:id="10"/>
      <w:bookmarkEnd w:id="10"/>
      <w:r w:rsidDel="00000000" w:rsidR="00000000" w:rsidRPr="00000000">
        <w:rPr>
          <w:rtl w:val="0"/>
        </w:rPr>
        <w:t xml:space="preserve">Descargar archivos</w:t>
      </w:r>
    </w:p>
    <w:p w:rsidR="00000000" w:rsidDel="00000000" w:rsidP="00000000" w:rsidRDefault="00000000" w:rsidRPr="00000000" w14:paraId="0000006F">
      <w:pPr>
        <w:rPr/>
      </w:pPr>
      <w:r w:rsidDel="00000000" w:rsidR="00000000" w:rsidRPr="00000000">
        <w:rPr>
          <w:rtl w:val="0"/>
        </w:rPr>
        <w:t xml:space="preserve">Descargar todos los archivos necesarios, los cuales están en un archivo comprimido formato “rar” en el siguiente link:</w:t>
        <w:br w:type="textWrapping"/>
        <w:br w:type="textWrapping"/>
      </w:r>
      <w:hyperlink r:id="rId10">
        <w:r w:rsidDel="00000000" w:rsidR="00000000" w:rsidRPr="00000000">
          <w:rPr>
            <w:b w:val="1"/>
            <w:color w:val="1155cc"/>
            <w:u w:val="single"/>
            <w:rtl w:val="0"/>
          </w:rPr>
          <w:t xml:space="preserve">http://pomerape.uta.cl/redmine/attachments/download/4387/Golffenheimer.rar</w:t>
        </w:r>
      </w:hyperlink>
      <w:r w:rsidDel="00000000" w:rsidR="00000000" w:rsidRPr="00000000">
        <w:rPr>
          <w:b w:val="1"/>
          <w:rtl w:val="0"/>
        </w:rPr>
        <w:br w:type="textWrapping"/>
        <w:br w:type="textWrapping"/>
      </w:r>
      <w:r w:rsidDel="00000000" w:rsidR="00000000" w:rsidRPr="00000000">
        <w:rPr>
          <w:rtl w:val="0"/>
        </w:rPr>
        <w:t xml:space="preserve">Una vez descargado el archivo, abrir con WinRAR.</w:t>
      </w:r>
    </w:p>
    <w:p w:rsidR="00000000" w:rsidDel="00000000" w:rsidP="00000000" w:rsidRDefault="00000000" w:rsidRPr="00000000" w14:paraId="00000070">
      <w:pPr>
        <w:rPr/>
      </w:pPr>
      <w:r w:rsidDel="00000000" w:rsidR="00000000" w:rsidRPr="00000000">
        <w:rPr/>
        <w:drawing>
          <wp:inline distB="114300" distT="114300" distL="114300" distR="114300">
            <wp:extent cx="5731200" cy="358140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Una vez abierto, se descomprime el archivo. Esto se logra fácilmente haciendo clic en la carpeta “Golffenheimer” y arrastrándola hacia donde se desee.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1"/>
        <w:ind w:left="0" w:firstLine="0"/>
        <w:rPr/>
      </w:pPr>
      <w:bookmarkStart w:colFirst="0" w:colLast="0" w:name="_heading=h.qsh70q" w:id="11"/>
      <w:bookmarkEnd w:id="11"/>
      <w:r w:rsidDel="00000000" w:rsidR="00000000" w:rsidRPr="00000000">
        <w:rPr>
          <w:rtl w:val="0"/>
        </w:rPr>
        <w:t xml:space="preserve">Conexión al servidor</w:t>
      </w:r>
    </w:p>
    <w:p w:rsidR="00000000" w:rsidDel="00000000" w:rsidP="00000000" w:rsidRDefault="00000000" w:rsidRPr="00000000" w14:paraId="0000007B">
      <w:pPr>
        <w:rPr/>
      </w:pPr>
      <w:r w:rsidDel="00000000" w:rsidR="00000000" w:rsidRPr="00000000">
        <w:rPr>
          <w:rtl w:val="0"/>
        </w:rPr>
        <w:t xml:space="preserve">Para lograr esto, hay que establecer una conexión SSH con el bloque EV3. Esto se logra en Linux de forma nativa, y en otros sistemas operativos mediante programas externos. En Windows o Mac, se puede lograr usando programas externos, como PuTTY.</w:t>
        <w:br w:type="textWrapping"/>
        <w:br w:type="textWrapping"/>
        <w:t xml:space="preserve">Primero, se conecta el bloque EV3 y el ordenador que se vaya a utilizar como cliente a la misma red Wi-Fi. </w:t>
        <w:br w:type="textWrapping"/>
        <w:br w:type="textWrapping"/>
        <w:t xml:space="preserve">Teniendo la consola abierta (ya sea nativa de Linux o PuTTY) se tiene que escribir el siguiente comando:</w:t>
        <w:br w:type="textWrapping"/>
        <w:br w:type="textWrapping"/>
        <w:t xml:space="preserve">ssh robot@ev3dev.local</w:t>
        <w:br w:type="textWrapping"/>
        <w:br w:type="textWrapping"/>
        <w:t xml:space="preserve">Si la conexión es posible, se pedirá una contraseña, la cual por defecto es “maker”. Esta contraseña puede ser cambiada dentro de la interfaz EV3dev.</w:t>
      </w:r>
    </w:p>
    <w:p w:rsidR="00000000" w:rsidDel="00000000" w:rsidP="00000000" w:rsidRDefault="00000000" w:rsidRPr="00000000" w14:paraId="0000007C">
      <w:pPr>
        <w:rPr/>
      </w:pPr>
      <w:r w:rsidDel="00000000" w:rsidR="00000000" w:rsidRPr="00000000">
        <w:rPr>
          <w:sz w:val="24"/>
          <w:szCs w:val="24"/>
        </w:rPr>
        <w:drawing>
          <wp:inline distB="114300" distT="114300" distL="114300" distR="114300">
            <wp:extent cx="5731200" cy="3365500"/>
            <wp:effectExtent b="0" l="0" r="0" t="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31200" cy="33655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pStyle w:val="Heading1"/>
        <w:ind w:left="0" w:firstLine="0"/>
        <w:rPr/>
      </w:pPr>
      <w:bookmarkStart w:colFirst="0" w:colLast="0" w:name="_heading=h.3as4poj" w:id="12"/>
      <w:bookmarkEnd w:id="12"/>
      <w:r w:rsidDel="00000000" w:rsidR="00000000" w:rsidRPr="00000000">
        <w:rPr>
          <w:rtl w:val="0"/>
        </w:rPr>
        <w:t xml:space="preserve">Conexión con la interfaz</w:t>
      </w:r>
    </w:p>
    <w:p w:rsidR="00000000" w:rsidDel="00000000" w:rsidP="00000000" w:rsidRDefault="00000000" w:rsidRPr="00000000" w14:paraId="00000084">
      <w:pPr>
        <w:rPr/>
      </w:pPr>
      <w:r w:rsidDel="00000000" w:rsidR="00000000" w:rsidRPr="00000000">
        <w:rPr>
          <w:rtl w:val="0"/>
        </w:rPr>
        <w:br w:type="textWrapping"/>
        <w:t xml:space="preserve">Una vez hecha la conexión SSH, se tiene que abrir el archivo conteniendo el código de la interfaz gráfica utilizando un editor de código (Recomendado: Visual Studio Code). Una vez abierto, hay que modificar el código en todas las secciones en las que se especifique una ruta de archivo, reemplazando esas secciones con la ruta correspondiente en el sistema actual. Con las modificaciones hechas, ejecutar el código.</w:t>
      </w:r>
    </w:p>
    <w:p w:rsidR="00000000" w:rsidDel="00000000" w:rsidP="00000000" w:rsidRDefault="00000000" w:rsidRPr="00000000" w14:paraId="00000085">
      <w:pPr>
        <w:rPr/>
      </w:pPr>
      <w:r w:rsidDel="00000000" w:rsidR="00000000" w:rsidRPr="00000000">
        <w:rPr>
          <w:rtl w:val="0"/>
        </w:rPr>
        <w:br w:type="textWrapping"/>
        <w:t xml:space="preserve">La interfaz pedirá una IP al iniciar, la cual se consigue dentro del bloque EV3. Una vez ingresado, la interfaz y, por ende, el robot ‘Golffenheimer’ está listo para su uso. Los controles son simples y evidentes, requiriendo una simple mirada para entender cómo se utiliza.</w:t>
      </w:r>
    </w:p>
    <w:p w:rsidR="00000000" w:rsidDel="00000000" w:rsidP="00000000" w:rsidRDefault="00000000" w:rsidRPr="00000000" w14:paraId="00000086">
      <w:pPr>
        <w:rPr/>
      </w:pPr>
      <w:r w:rsidDel="00000000" w:rsidR="00000000" w:rsidRPr="00000000">
        <w:rPr/>
        <w:drawing>
          <wp:inline distB="114300" distT="114300" distL="114300" distR="114300">
            <wp:extent cx="5731200" cy="3467100"/>
            <wp:effectExtent b="0" l="0" r="0" t="0"/>
            <wp:docPr id="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31200" cy="34671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3657600</wp:posOffset>
            </wp:positionV>
            <wp:extent cx="5731200" cy="3441700"/>
            <wp:effectExtent b="0" l="0" r="0" t="0"/>
            <wp:wrapNone/>
            <wp:docPr id="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31200" cy="3441700"/>
                    </a:xfrm>
                    <a:prstGeom prst="rect"/>
                    <a:ln/>
                  </pic:spPr>
                </pic:pic>
              </a:graphicData>
            </a:graphic>
          </wp:anchor>
        </w:drawing>
      </w:r>
    </w:p>
    <w:p w:rsidR="00000000" w:rsidDel="00000000" w:rsidP="00000000" w:rsidRDefault="00000000" w:rsidRPr="00000000" w14:paraId="00000087">
      <w:pPr>
        <w:rPr/>
      </w:pPr>
      <w:r w:rsidDel="00000000" w:rsidR="00000000" w:rsidRPr="00000000">
        <w:rPr>
          <w:rtl w:val="0"/>
        </w:rPr>
        <w:br w:type="textWrapping"/>
        <w:br w:type="textWrapping"/>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rFonts w:ascii="Arial" w:cs="Arial" w:eastAsia="Arial" w:hAnsi="Arial"/>
          <w:color w:val="000000"/>
        </w:rPr>
      </w:pPr>
      <w:r w:rsidDel="00000000" w:rsidR="00000000" w:rsidRPr="00000000">
        <w:rPr>
          <w:rtl w:val="0"/>
        </w:rPr>
        <w:t xml:space="preserve">Cuando se quiera cerrar la interfaz, presionar el botón ‘Salir’, lo cuál cerrará la ventana y termina la conexión de la interfaz con el bloque EV3. La conexión SSH seguirá activa hasta que se cierre el terminal que contenga la conexión.</w:t>
        <w:br w:type="textWrapping"/>
        <w:br w:type="textWrapping"/>
      </w:r>
      <w:r w:rsidDel="00000000" w:rsidR="00000000" w:rsidRPr="00000000">
        <w:rPr>
          <w:rtl w:val="0"/>
        </w:rPr>
      </w:r>
    </w:p>
    <w:p w:rsidR="00000000" w:rsidDel="00000000" w:rsidP="00000000" w:rsidRDefault="00000000" w:rsidRPr="00000000" w14:paraId="00000090">
      <w:pPr>
        <w:keepNext w:val="1"/>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91">
      <w:pPr>
        <w:keepNext w:val="1"/>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92">
      <w:pPr>
        <w:keepNext w:val="1"/>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93">
      <w:pPr>
        <w:keepNext w:val="1"/>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94">
      <w:pPr>
        <w:keepNext w:val="1"/>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95">
      <w:pPr>
        <w:keepNext w:val="1"/>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96">
      <w:pPr>
        <w:keepNext w:val="1"/>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97">
      <w:pPr>
        <w:keepNext w:val="1"/>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98">
      <w:pPr>
        <w:keepNext w:val="1"/>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99">
      <w:pPr>
        <w:keepNext w:val="1"/>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9A">
      <w:pPr>
        <w:keepNext w:val="1"/>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9B">
      <w:pPr>
        <w:keepNext w:val="1"/>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9C">
      <w:pPr>
        <w:keepNext w:val="1"/>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9D">
      <w:pPr>
        <w:keepNext w:val="1"/>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9E">
      <w:pPr>
        <w:keepNext w:val="1"/>
        <w:jc w:val="center"/>
        <w:rPr>
          <w:rFonts w:ascii="Arial" w:cs="Arial" w:eastAsia="Arial" w:hAnsi="Arial"/>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sectPr>
      <w:headerReference r:id="rId15" w:type="default"/>
      <w:pgSz w:h="16838" w:w="11906"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rebuchet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ff0000"/>
      </w:rPr>
    </w:pPr>
    <w:r w:rsidDel="00000000" w:rsidR="00000000" w:rsidRPr="00000000">
      <w:rPr>
        <w:color w:val="ff0000"/>
        <w:rtl w:val="0"/>
      </w:rPr>
      <w:t xml:space="preserve">Golffenheimer V1</w:t>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574" w:hanging="432.00000000000006"/>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ind w:left="360" w:hanging="360"/>
    </w:pPr>
    <w:rPr>
      <w:rFonts w:ascii="Arial" w:cs="Arial" w:eastAsia="Arial" w:hAnsi="Arial"/>
      <w:color w:val="000000"/>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pomerape.uta.cl/redmine/attachments/download/4387/Golffenheimer.rar" TargetMode="External"/><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0skgjzwVfdcP6FI8jyzNI1v2hQ==">CgMxLjAaDQoBMBIICgYIBTICCAEaDQoBMRIICgYIBTICCAEyCWguM3JkY3JqbjIJaC4zMGowemxsMgloLjFmb2I5dGUyDmguOTVudnpnZXl6NDZjMgloLjNqMnFxbTMyCWguMXk4MTB0dzIOaC5obHFqZ2J3ZDBjOXkyCWguMnhjeXRwaTIJaC4xY2k5M3hiMgloLjN3aHdtbDQyCWguMmJuNndzeDIIaC5xc2g3MHEyCWguM2FzNHBvajgAciExbVNLMGxsZGhNbHVvV21USzdzajNzZ1prVGUzZV9SM3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