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4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Diciembre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Diciembre)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Reconstrucción de Robot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Toma de videos de Robot.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de escritura manual de usuario.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Finalizar toda documentación pendiente.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¿Funcionará el robot apropiadamente durante las pruebas?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4/12/2023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Informe 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Manual de Usuario.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Control de Golpe del Robot.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635" distR="0" simplePos="0" locked="0" layoutInCell="1" allowOverlap="1" relativeHeight="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_x0000_tole_rId1" path="m0,0l-2147483645,0l-2147483645,-2147483646l0,-2147483646xe" stroked="f" o:allowincell="f" style="position:absolute;margin-left:0.05pt;margin-top:0.05pt;width:49.95pt;height:49.95pt;mso-wrap-style:none;v-text-anchor:middle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264528890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LibreOffice/7.5.4.2$Windows_X86_64 LibreOffice_project/36ccfdc35048b057fd9854c757a8b67ec53977b6</Application>
  <AppVersion>15.0000</AppVersion>
  <Pages>1</Pages>
  <Words>158</Words>
  <Characters>930</Characters>
  <CharactersWithSpaces>1038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2023-12-26T22:16:52Z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