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35F5" w14:textId="398F083E" w:rsidR="003E418C" w:rsidRPr="003E418C" w:rsidRDefault="003E418C" w:rsidP="003E418C">
      <w:pPr>
        <w:pStyle w:val="Prrafodelista"/>
        <w:ind w:left="426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</w:pPr>
      <w:r w:rsidRPr="003E418C"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  <w:t>Configurar conexión</w:t>
      </w:r>
    </w:p>
    <w:p w14:paraId="228C04FD" w14:textId="7302F06D" w:rsidR="003E418C" w:rsidRPr="003E418C" w:rsidRDefault="003E418C" w:rsidP="003E418C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</w:rPr>
        <w:t xml:space="preserve">Se selecciona </w:t>
      </w:r>
      <w:proofErr w:type="spellStart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>Manage</w:t>
      </w:r>
      <w:proofErr w:type="spellEnd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Data </w:t>
      </w:r>
      <w:proofErr w:type="spellStart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>Sources</w:t>
      </w:r>
      <w:proofErr w:type="spellEnd"/>
      <w:r w:rsidRPr="003E418C">
        <w:rPr>
          <w:rFonts w:ascii="Arial" w:hAnsi="Arial" w:cs="Arial"/>
          <w:color w:val="4472C4" w:themeColor="accent1"/>
          <w:sz w:val="24"/>
          <w:szCs w:val="24"/>
        </w:rPr>
        <w:t xml:space="preserve">, luego </w:t>
      </w:r>
      <w:proofErr w:type="spellStart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>Create</w:t>
      </w:r>
      <w:proofErr w:type="spellEnd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New </w:t>
      </w:r>
      <w:proofErr w:type="spellStart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>Conection</w:t>
      </w:r>
      <w:proofErr w:type="spellEnd"/>
      <w:r w:rsidRPr="003E418C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</w:t>
      </w:r>
      <w:r w:rsidRPr="003E418C">
        <w:rPr>
          <w:rFonts w:ascii="Arial" w:hAnsi="Arial" w:cs="Arial"/>
          <w:color w:val="4472C4" w:themeColor="accent1"/>
          <w:sz w:val="24"/>
          <w:szCs w:val="24"/>
        </w:rPr>
        <w:t>(símbolo de engranaje)</w:t>
      </w:r>
      <w:r w:rsidRPr="003E418C">
        <w:rPr>
          <w:rFonts w:ascii="Arial" w:hAnsi="Arial" w:cs="Arial"/>
          <w:color w:val="4472C4" w:themeColor="accent1"/>
          <w:sz w:val="24"/>
          <w:szCs w:val="24"/>
        </w:rPr>
        <w:t xml:space="preserve">. </w:t>
      </w: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t>En este ejemplo la base de datos con la que se hace la conexión es una proporcionada por la Universidad de Tarapacá por el departamento de ingeniería civil en computación e informática.</w:t>
      </w:r>
    </w:p>
    <w:p w14:paraId="70A81A99" w14:textId="77777777" w:rsidR="003E418C" w:rsidRPr="003E418C" w:rsidRDefault="003E418C" w:rsidP="003E418C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7C1164BA" w14:textId="0E938E38" w:rsidR="003E418C" w:rsidRDefault="003E418C" w:rsidP="003E418C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78F93F5B" wp14:editId="0D007541">
            <wp:extent cx="4787738" cy="2743200"/>
            <wp:effectExtent l="0" t="0" r="0" b="0"/>
            <wp:docPr id="7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5"/>
                    <a:srcRect l="8139" r="8480"/>
                    <a:stretch>
                      <a:fillRect/>
                    </a:stretch>
                  </pic:blipFill>
                  <pic:spPr>
                    <a:xfrm>
                      <a:off x="0" y="0"/>
                      <a:ext cx="4787738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02917" w14:textId="77777777" w:rsidR="003E418C" w:rsidRDefault="003E418C" w:rsidP="003E418C">
      <w:pPr>
        <w:pStyle w:val="Prrafodelista"/>
        <w:ind w:left="426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</w:pPr>
    </w:p>
    <w:p w14:paraId="242291F9" w14:textId="243A2749" w:rsidR="003E418C" w:rsidRPr="003E418C" w:rsidRDefault="003E418C" w:rsidP="003E418C">
      <w:pPr>
        <w:pStyle w:val="Prrafodelista"/>
        <w:ind w:left="426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</w:pPr>
      <w:r w:rsidRPr="003E418C"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  <w:t xml:space="preserve">Configurar 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val="es"/>
        </w:rPr>
        <w:t>cubo multidimensional</w:t>
      </w:r>
    </w:p>
    <w:p w14:paraId="6551536B" w14:textId="66643690" w:rsidR="003E418C" w:rsidRDefault="00C00E3F" w:rsidP="003E418C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Se </w:t>
      </w:r>
      <w:proofErr w:type="spellStart"/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>selecciona</w:t>
      </w:r>
      <w:proofErr w:type="spellEnd"/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</w:t>
      </w:r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>Manage Data Sources</w:t>
      </w:r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, </w:t>
      </w:r>
      <w:proofErr w:type="spellStart"/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>luego</w:t>
      </w:r>
      <w:proofErr w:type="spellEnd"/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</w:t>
      </w:r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 xml:space="preserve">Create New </w:t>
      </w:r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>Data Source</w:t>
      </w:r>
      <w:r>
        <w:rPr>
          <w:rFonts w:ascii="Arial" w:hAnsi="Arial" w:cs="Arial"/>
          <w:color w:val="4472C4" w:themeColor="accent1"/>
          <w:sz w:val="24"/>
          <w:szCs w:val="24"/>
          <w:lang w:val="en-US"/>
        </w:rPr>
        <w:t>.</w:t>
      </w:r>
      <w:r w:rsidRPr="00C00E3F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4472C4" w:themeColor="accent1"/>
          <w:sz w:val="24"/>
          <w:szCs w:val="24"/>
          <w:lang w:val="es"/>
        </w:rPr>
        <w:t>El nombre del cubo a funcionar con las consultas prediseñadas del módulo es “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  <w:lang w:val="es"/>
        </w:rPr>
        <w:t>CuboAVCIC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"/>
        </w:rPr>
        <w:t>” (sin números)</w:t>
      </w: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t>.</w:t>
      </w:r>
      <w:r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Luego, con tipo de fuente siendo </w:t>
      </w:r>
      <w:proofErr w:type="spellStart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>Database</w:t>
      </w:r>
      <w:proofErr w:type="spellEnd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 xml:space="preserve"> Tables</w:t>
      </w:r>
      <w:r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se selecciona la conexión a la base de datos anteriormente configurada.</w:t>
      </w:r>
    </w:p>
    <w:p w14:paraId="2D8E1598" w14:textId="77777777" w:rsidR="00C00E3F" w:rsidRPr="003E418C" w:rsidRDefault="00C00E3F" w:rsidP="00C00E3F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7BFA19AB" w14:textId="77777777" w:rsidR="003E418C" w:rsidRPr="003E418C" w:rsidRDefault="003E418C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659F075E" wp14:editId="469656B8">
            <wp:extent cx="4128360" cy="3296285"/>
            <wp:effectExtent l="0" t="0" r="5715" b="0"/>
            <wp:docPr id="5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763" cy="329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8A2B8" w14:textId="0E4EC9E5" w:rsidR="00C00E3F" w:rsidRPr="00C00E3F" w:rsidRDefault="00C00E3F" w:rsidP="00C00E3F">
      <w:pPr>
        <w:pStyle w:val="Prrafodelista"/>
        <w:numPr>
          <w:ilvl w:val="0"/>
          <w:numId w:val="1"/>
        </w:numPr>
        <w:rPr>
          <w:rFonts w:ascii="Arial" w:hAnsi="Arial" w:cs="Arial"/>
          <w:iCs/>
          <w:color w:val="4472C4" w:themeColor="accent1"/>
          <w:sz w:val="24"/>
          <w:szCs w:val="24"/>
          <w:lang w:val="es"/>
        </w:rPr>
      </w:pPr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lastRenderedPageBreak/>
        <w:t>El nombre del esquema depende de la base de datos de la conexión, se selecciona a la derecha todas las tablas de dimensión y la de hechos (ésta última también se selecciona debajo del todo).</w:t>
      </w:r>
    </w:p>
    <w:p w14:paraId="53B1A58F" w14:textId="7FA41786" w:rsidR="003E418C" w:rsidRDefault="003E418C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60A214E1" wp14:editId="4507E7A3">
            <wp:extent cx="4311488" cy="3490252"/>
            <wp:effectExtent l="0" t="0" r="0" b="0"/>
            <wp:docPr id="5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488" cy="3490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77EDE" w14:textId="77777777" w:rsidR="00C00E3F" w:rsidRPr="003E418C" w:rsidRDefault="00C00E3F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61293737" w14:textId="625DC3F5" w:rsidR="003E418C" w:rsidRPr="003E418C" w:rsidRDefault="00C00E3F" w:rsidP="00C00E3F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iCs/>
          <w:color w:val="4472C4" w:themeColor="accent1"/>
          <w:sz w:val="24"/>
          <w:szCs w:val="24"/>
          <w:lang w:val="es"/>
        </w:rPr>
      </w:pPr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Se seleccionan todos los </w:t>
      </w:r>
      <w:proofErr w:type="spellStart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>joins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 necesarios, teniendo los campos de id de la tabla de hechos a la </w:t>
      </w:r>
      <w:proofErr w:type="spellStart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>izquerda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 y los campos de id de la tabla que corresponde a la derecha. Usar el botón </w:t>
      </w:r>
      <w:proofErr w:type="spellStart"/>
      <w:r w:rsidRPr="00C00E3F"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>create</w:t>
      </w:r>
      <w:proofErr w:type="spellEnd"/>
      <w:r w:rsidRPr="00C00E3F"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 xml:space="preserve"> </w:t>
      </w:r>
      <w:proofErr w:type="spellStart"/>
      <w:r w:rsidRPr="00C00E3F"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>join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 por cada </w:t>
      </w:r>
      <w:proofErr w:type="spellStart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>join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>.</w:t>
      </w:r>
    </w:p>
    <w:p w14:paraId="053811C6" w14:textId="77777777" w:rsidR="003E418C" w:rsidRPr="003E418C" w:rsidRDefault="003E418C" w:rsidP="00C00E3F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530E95C5" w14:textId="493B1063" w:rsidR="003E418C" w:rsidRDefault="003E418C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5B4E2145" wp14:editId="5F5F31BA">
            <wp:extent cx="4344825" cy="3529549"/>
            <wp:effectExtent l="0" t="0" r="0" b="0"/>
            <wp:docPr id="6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4825" cy="3529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06F2B" w14:textId="77777777" w:rsidR="00C00E3F" w:rsidRPr="003E418C" w:rsidRDefault="00C00E3F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0741B08C" w14:textId="7977558F" w:rsidR="003E418C" w:rsidRDefault="00C00E3F" w:rsidP="003E418C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  <w:r>
        <w:rPr>
          <w:rFonts w:ascii="Arial" w:hAnsi="Arial" w:cs="Arial"/>
          <w:color w:val="4472C4" w:themeColor="accent1"/>
          <w:sz w:val="24"/>
          <w:szCs w:val="24"/>
          <w:lang w:val="es"/>
        </w:rPr>
        <w:lastRenderedPageBreak/>
        <w:t xml:space="preserve">Una vez terminada la creación del cubo, dirigirse a </w:t>
      </w:r>
      <w:proofErr w:type="spellStart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>Customize</w:t>
      </w:r>
      <w:proofErr w:type="spellEnd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 xml:space="preserve"> </w:t>
      </w:r>
      <w:proofErr w:type="spellStart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>model</w:t>
      </w:r>
      <w:proofErr w:type="spellEnd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 xml:space="preserve"> </w:t>
      </w:r>
      <w:proofErr w:type="spellStart"/>
      <w:r w:rsidRPr="00C00E3F">
        <w:rPr>
          <w:rFonts w:ascii="Arial" w:hAnsi="Arial" w:cs="Arial"/>
          <w:i/>
          <w:iCs/>
          <w:color w:val="4472C4" w:themeColor="accent1"/>
          <w:sz w:val="24"/>
          <w:szCs w:val="24"/>
          <w:lang w:val="es"/>
        </w:rPr>
        <w:t>now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"/>
        </w:rPr>
        <w:t>.</w:t>
      </w:r>
    </w:p>
    <w:p w14:paraId="721A34C6" w14:textId="77777777" w:rsidR="00C00E3F" w:rsidRPr="003E418C" w:rsidRDefault="00C00E3F" w:rsidP="00C00E3F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7E1EB03D" w14:textId="72678A6F" w:rsidR="003E418C" w:rsidRDefault="003E418C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6203885B" wp14:editId="3C92F874">
            <wp:extent cx="3981450" cy="2962275"/>
            <wp:effectExtent l="0" t="0" r="0" b="0"/>
            <wp:docPr id="6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36C3EE" w14:textId="77777777" w:rsidR="00C00E3F" w:rsidRPr="003E418C" w:rsidRDefault="00C00E3F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7A5C1C00" w14:textId="0A618AAD" w:rsidR="003E418C" w:rsidRPr="003E418C" w:rsidRDefault="00C00E3F" w:rsidP="00C00E3F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iCs/>
          <w:color w:val="4472C4" w:themeColor="accent1"/>
          <w:sz w:val="24"/>
          <w:szCs w:val="24"/>
          <w:lang w:val="es"/>
        </w:rPr>
      </w:pPr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Se eliminan todas las medidas de </w:t>
      </w:r>
      <w:proofErr w:type="spellStart"/>
      <w:r w:rsidRPr="00C00E3F"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>Measures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 y se agregan las de </w:t>
      </w:r>
      <w:proofErr w:type="spellStart"/>
      <w:r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>valorcampo</w:t>
      </w:r>
      <w:proofErr w:type="spellEnd"/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 xml:space="preserve"> y </w:t>
      </w:r>
      <w:r>
        <w:rPr>
          <w:rFonts w:ascii="Arial" w:hAnsi="Arial" w:cs="Arial"/>
          <w:i/>
          <w:color w:val="4472C4" w:themeColor="accent1"/>
          <w:sz w:val="24"/>
          <w:szCs w:val="24"/>
          <w:lang w:val="es"/>
        </w:rPr>
        <w:t>llave</w:t>
      </w:r>
      <w:r>
        <w:rPr>
          <w:rFonts w:ascii="Arial" w:hAnsi="Arial" w:cs="Arial"/>
          <w:iCs/>
          <w:color w:val="4472C4" w:themeColor="accent1"/>
          <w:sz w:val="24"/>
          <w:szCs w:val="24"/>
          <w:lang w:val="es"/>
        </w:rPr>
        <w:t>.</w:t>
      </w:r>
    </w:p>
    <w:p w14:paraId="3AAB3857" w14:textId="77777777" w:rsidR="003E418C" w:rsidRPr="003E418C" w:rsidRDefault="003E418C" w:rsidP="00C00E3F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559D43B0" w14:textId="77777777" w:rsidR="003E418C" w:rsidRPr="003E418C" w:rsidRDefault="003E418C" w:rsidP="00C00E3F">
      <w:pPr>
        <w:pStyle w:val="Prrafodelista"/>
        <w:ind w:left="426"/>
        <w:jc w:val="center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drawing>
          <wp:inline distT="114300" distB="114300" distL="114300" distR="114300" wp14:anchorId="6D525B78" wp14:editId="0B8C08ED">
            <wp:extent cx="4024657" cy="2591487"/>
            <wp:effectExtent l="0" t="0" r="0" b="0"/>
            <wp:docPr id="4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657" cy="2591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AE35B" w14:textId="77777777" w:rsidR="003E418C" w:rsidRPr="003E418C" w:rsidRDefault="003E418C" w:rsidP="00C00E3F">
      <w:pPr>
        <w:pStyle w:val="Prrafodelista"/>
        <w:ind w:left="426"/>
        <w:rPr>
          <w:rFonts w:ascii="Arial" w:hAnsi="Arial" w:cs="Arial"/>
          <w:iCs/>
          <w:color w:val="4472C4" w:themeColor="accent1"/>
          <w:sz w:val="24"/>
          <w:szCs w:val="24"/>
          <w:lang w:val="es"/>
        </w:rPr>
      </w:pPr>
    </w:p>
    <w:p w14:paraId="420D0750" w14:textId="356982F8" w:rsidR="00C14F35" w:rsidRPr="00F303B9" w:rsidRDefault="00C00E3F" w:rsidP="00F303B9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  <w:lang w:val="es"/>
        </w:rPr>
        <w:t>Ahora se tiene la</w:t>
      </w:r>
      <w:r w:rsidR="003E418C"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fuente de datos </w:t>
      </w:r>
      <w:r>
        <w:rPr>
          <w:rFonts w:ascii="Arial" w:hAnsi="Arial" w:cs="Arial"/>
          <w:color w:val="4472C4" w:themeColor="accent1"/>
          <w:sz w:val="24"/>
          <w:szCs w:val="24"/>
          <w:lang w:val="es"/>
        </w:rPr>
        <w:t>“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  <w:lang w:val="es"/>
        </w:rPr>
        <w:t>CuboAVCIC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” </w:t>
      </w:r>
      <w:r w:rsidR="003E418C" w:rsidRPr="003E418C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disponible para seleccionar </w:t>
      </w:r>
      <w:r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dentro de la vista de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  <w:lang w:val="es"/>
        </w:rPr>
        <w:t>Saiku</w:t>
      </w:r>
      <w:proofErr w:type="spellEnd"/>
      <w:r w:rsidR="00F303B9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. 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  <w:lang w:val="en-US"/>
        </w:rPr>
        <w:t>(</w:t>
      </w:r>
      <w:r w:rsidR="00F303B9" w:rsidRPr="00F303B9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>Create New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-&gt; </w:t>
      </w:r>
      <w:proofErr w:type="spellStart"/>
      <w:r w:rsidR="00F303B9" w:rsidRPr="00F303B9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>Saiku</w:t>
      </w:r>
      <w:proofErr w:type="spellEnd"/>
      <w:r w:rsidR="00F303B9" w:rsidRPr="00F303B9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 xml:space="preserve"> Analytics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-&gt; </w:t>
      </w:r>
      <w:r w:rsidR="00F303B9" w:rsidRPr="00F303B9">
        <w:rPr>
          <w:rFonts w:ascii="Arial" w:hAnsi="Arial" w:cs="Arial"/>
          <w:i/>
          <w:iCs/>
          <w:color w:val="4472C4" w:themeColor="accent1"/>
          <w:sz w:val="24"/>
          <w:szCs w:val="24"/>
          <w:lang w:val="en-US"/>
        </w:rPr>
        <w:t>Create new Query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). 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</w:rPr>
        <w:t>Como se explica a detalle en el “</w:t>
      </w:r>
      <w:r w:rsidR="00F303B9" w:rsidRPr="00F303B9">
        <w:rPr>
          <w:rFonts w:ascii="Arial" w:hAnsi="Arial" w:cs="Arial"/>
          <w:b/>
          <w:bCs/>
          <w:color w:val="4472C4" w:themeColor="accent1"/>
          <w:sz w:val="24"/>
          <w:szCs w:val="24"/>
        </w:rPr>
        <w:t>Manual Usar los tableros en Saiku</w:t>
      </w:r>
      <w:r w:rsidR="00F303B9" w:rsidRPr="00F303B9">
        <w:rPr>
          <w:rFonts w:ascii="Arial" w:hAnsi="Arial" w:cs="Arial"/>
          <w:color w:val="4472C4" w:themeColor="accent1"/>
          <w:sz w:val="24"/>
          <w:szCs w:val="24"/>
        </w:rPr>
        <w:t>”.</w:t>
      </w:r>
    </w:p>
    <w:sectPr w:rsidR="00C14F35" w:rsidRPr="00F30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20A8"/>
    <w:multiLevelType w:val="hybridMultilevel"/>
    <w:tmpl w:val="257A44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2C61"/>
    <w:multiLevelType w:val="multilevel"/>
    <w:tmpl w:val="858E1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5728878">
    <w:abstractNumId w:val="0"/>
  </w:num>
  <w:num w:numId="2" w16cid:durableId="94203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A7"/>
    <w:rsid w:val="00040CFC"/>
    <w:rsid w:val="00180AA6"/>
    <w:rsid w:val="003E418C"/>
    <w:rsid w:val="00762429"/>
    <w:rsid w:val="00C00E3F"/>
    <w:rsid w:val="00C14F35"/>
    <w:rsid w:val="00E87AA7"/>
    <w:rsid w:val="00F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DA3B6"/>
  <w15:chartTrackingRefBased/>
  <w15:docId w15:val="{555571A5-154A-43B5-824E-633ABCB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lukich aste</dc:creator>
  <cp:keywords/>
  <dc:description/>
  <cp:lastModifiedBy>sebastian lukich aste</cp:lastModifiedBy>
  <cp:revision>3</cp:revision>
  <dcterms:created xsi:type="dcterms:W3CDTF">2022-12-16T19:32:00Z</dcterms:created>
  <dcterms:modified xsi:type="dcterms:W3CDTF">2022-12-18T14:40:00Z</dcterms:modified>
</cp:coreProperties>
</file>