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D4" w:rsidRDefault="006F0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F09D4" w:rsidRDefault="002E024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6F09D4"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276"/>
        <w:gridCol w:w="6943"/>
      </w:tblGrid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2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8219" w:type="dxa"/>
            <w:gridSpan w:val="2"/>
          </w:tcPr>
          <w:p w:rsidR="00E3443A" w:rsidRDefault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Confección de la maqueta correspondiente al sistema hidropónico.</w:t>
            </w:r>
          </w:p>
          <w:p w:rsidR="00E3443A" w:rsidRDefault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Alcance de medidas de botellas, tubos y detalles.</w:t>
            </w:r>
          </w:p>
          <w:p w:rsidR="006F6CA0" w:rsidRDefault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Recepción de consejos y críticas del profesor, se hará una retroalimentación de la maqueta.</w:t>
            </w:r>
          </w:p>
          <w:p w:rsidR="006F09D4" w:rsidRDefault="006F6CA0" w:rsidP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Replanteamiento de botellas, buscar una calidad que evite el estancado de agua.</w:t>
            </w:r>
          </w:p>
          <w:p w:rsidR="006F6CA0" w:rsidRPr="006F6CA0" w:rsidRDefault="006F6CA0" w:rsidP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 un principio se pensó en comprar materiales ya que sería más rápido</w:t>
            </w:r>
            <w:r w:rsidR="00896FD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pero buscando en el hogar se encontraron varios objetos que estaban sin ninguna función, se está cumpliendo hasta ahora con un 83% de reciclaje.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8219" w:type="dxa"/>
            <w:gridSpan w:val="2"/>
          </w:tcPr>
          <w:p w:rsidR="00096A38" w:rsidRDefault="00096A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harán cambios en el prototipo evitando el estanque de agua.</w:t>
            </w:r>
          </w:p>
          <w:p w:rsidR="00096A38" w:rsidRDefault="00096A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 la maqueta no puede haber filtros de agua.</w:t>
            </w:r>
          </w:p>
          <w:p w:rsidR="00A9372A" w:rsidRDefault="00096A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Mejorar conexiones donde fluye el líquido H2O.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8219" w:type="dxa"/>
            <w:gridSpan w:val="2"/>
          </w:tcPr>
          <w:p w:rsidR="006F6CA0" w:rsidRDefault="006F6CA0" w:rsidP="006F6C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Las botellas de agua no son perfectamente redondas.</w:t>
            </w:r>
          </w:p>
          <w:p w:rsidR="00495552" w:rsidRDefault="006F6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¿Cómo quitamos el estancado de agua?</w:t>
            </w:r>
          </w:p>
          <w:p w:rsidR="006F6CA0" w:rsidRDefault="006F6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¿Existen materiales que tengan sinergia con la maqueta?</w:t>
            </w:r>
          </w:p>
          <w:p w:rsidR="006F6CA0" w:rsidRDefault="006F6CA0" w:rsidP="006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96A38" w:rsidRDefault="00096A38" w:rsidP="00096A38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Los palos de maqueta se ven resistentes.</w:t>
            </w:r>
          </w:p>
          <w:p w:rsidR="00096A38" w:rsidRDefault="00096A38" w:rsidP="00096A38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¿Resistirán leves choques, peso del agua y plantas?</w:t>
            </w:r>
          </w:p>
          <w:p w:rsidR="00096A38" w:rsidRDefault="00096A38" w:rsidP="00096A3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6CA0" w:rsidRPr="00096A38" w:rsidRDefault="00096A38" w:rsidP="00096A38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Los filtros de agua empeoran el progreso</w:t>
            </w:r>
            <w:r w:rsidR="006F6CA0" w:rsidRPr="00096A3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096A38" w:rsidRDefault="00096A38" w:rsidP="00096A38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silicona no ayuda, ¿Se logrará evitar el filtro de agua manteniendo el 50% de la estética? </w:t>
            </w:r>
          </w:p>
          <w:p w:rsidR="00096A38" w:rsidRPr="00096A38" w:rsidRDefault="00096A38" w:rsidP="0009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96A38" w:rsidRPr="00096A38" w:rsidRDefault="00096A38" w:rsidP="0009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F09D4" w:rsidTr="00A9372A">
        <w:trPr>
          <w:trHeight w:val="69"/>
        </w:trPr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276" w:type="dxa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6943" w:type="dxa"/>
          </w:tcPr>
          <w:p w:rsidR="006F09D4" w:rsidRDefault="00E3443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05/09</w:t>
            </w:r>
            <w:r w:rsidR="002E024B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</w:t>
            </w:r>
            <w:r w:rsidR="00A9372A"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SABLES</w:t>
            </w:r>
          </w:p>
        </w:tc>
        <w:tc>
          <w:tcPr>
            <w:tcW w:w="6943" w:type="dxa"/>
          </w:tcPr>
          <w:p w:rsidR="006F09D4" w:rsidRDefault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344BA">
              <w:rPr>
                <w:rFonts w:ascii="Verdana" w:eastAsia="Verdana" w:hAnsi="Verdana" w:cs="Verdana"/>
                <w:sz w:val="20"/>
                <w:szCs w:val="20"/>
              </w:rPr>
              <w:t>Revisión de plan de proyecto y bitácora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generar ideas y soluciones para problemas de la maqueta, Mejorar de diseño de la maqueta. Analizar estancado de maqueta donde fluye H2O.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896FD4">
              <w:rPr>
                <w:rFonts w:ascii="Verdana" w:eastAsia="Verdana" w:hAnsi="Verdana" w:cs="Verdana"/>
                <w:sz w:val="20"/>
                <w:szCs w:val="20"/>
              </w:rPr>
              <w:t>Desarrollo de bitácora, compra de materiales faltantes para la maqueta, organizar semana a grupo para estar constantemente mejorando la maqueta.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Pr="00896FD4" w:rsidRDefault="00D344BA" w:rsidP="00896FD4">
            <w:pPr>
              <w:pStyle w:val="Prrafodelista"/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896FD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Actualizar plan de proyecto</w:t>
            </w:r>
            <w:r w:rsidR="00896FD4">
              <w:rPr>
                <w:rFonts w:ascii="Verdana" w:eastAsia="Verdana" w:hAnsi="Verdana" w:cs="Verdana"/>
                <w:sz w:val="20"/>
                <w:szCs w:val="20"/>
              </w:rPr>
              <w:t>, manipular materiales para desarrollar la maqueta, generar ideas y alternativas para el avance de la maqueta.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276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6943" w:type="dxa"/>
          </w:tcPr>
          <w:p w:rsidR="00D344BA" w:rsidRDefault="002E024B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896FD4">
              <w:rPr>
                <w:rFonts w:ascii="Verdana" w:eastAsia="Verdana" w:hAnsi="Verdana" w:cs="Verdana"/>
                <w:sz w:val="20"/>
                <w:szCs w:val="20"/>
              </w:rPr>
              <w:t>Estanque de agua(Flujo de Agua)</w:t>
            </w:r>
          </w:p>
          <w:p w:rsidR="00896FD4" w:rsidRDefault="00896FD4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Cambio de botellas.</w:t>
            </w:r>
          </w:p>
          <w:p w:rsidR="00896FD4" w:rsidRDefault="00896FD4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Estética.</w:t>
            </w:r>
            <w:bookmarkStart w:id="1" w:name="_GoBack"/>
            <w:bookmarkEnd w:id="1"/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sectPr w:rsidR="006F09D4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2A" w:rsidRDefault="0074022A">
      <w:r>
        <w:separator/>
      </w:r>
    </w:p>
  </w:endnote>
  <w:endnote w:type="continuationSeparator" w:id="0">
    <w:p w:rsidR="0074022A" w:rsidRDefault="007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2A" w:rsidRDefault="0074022A">
      <w:r>
        <w:separator/>
      </w:r>
    </w:p>
  </w:footnote>
  <w:footnote w:type="continuationSeparator" w:id="0">
    <w:p w:rsidR="0074022A" w:rsidRDefault="0074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3A" w:rsidRDefault="00E344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E3443A">
      <w:trPr>
        <w:jc w:val="center"/>
      </w:trPr>
      <w:tc>
        <w:tcPr>
          <w:tcW w:w="1013" w:type="dxa"/>
          <w:vAlign w:val="center"/>
        </w:tcPr>
        <w:p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29041848" r:id="rId2"/>
            </w:object>
          </w:r>
        </w:p>
      </w:tc>
      <w:tc>
        <w:tcPr>
          <w:tcW w:w="6861" w:type="dxa"/>
          <w:vAlign w:val="center"/>
        </w:tcPr>
        <w:p w:rsidR="00E3443A" w:rsidRDefault="00E3443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E3443A" w:rsidRDefault="00E3443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3443A" w:rsidRDefault="00E34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32F31"/>
    <w:multiLevelType w:val="hybridMultilevel"/>
    <w:tmpl w:val="299CCEA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F0129"/>
    <w:multiLevelType w:val="hybridMultilevel"/>
    <w:tmpl w:val="6F5801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2F1E"/>
    <w:multiLevelType w:val="multilevel"/>
    <w:tmpl w:val="915AC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A82920"/>
    <w:multiLevelType w:val="hybridMultilevel"/>
    <w:tmpl w:val="BE262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B3F6F"/>
    <w:multiLevelType w:val="multilevel"/>
    <w:tmpl w:val="A510F1DA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765AC"/>
    <w:multiLevelType w:val="multilevel"/>
    <w:tmpl w:val="7720A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E97971"/>
    <w:multiLevelType w:val="multilevel"/>
    <w:tmpl w:val="73EEF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5960A3"/>
    <w:multiLevelType w:val="hybridMultilevel"/>
    <w:tmpl w:val="2E4430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4"/>
    <w:rsid w:val="00096A38"/>
    <w:rsid w:val="0018218C"/>
    <w:rsid w:val="002E024B"/>
    <w:rsid w:val="003F447B"/>
    <w:rsid w:val="00495552"/>
    <w:rsid w:val="006F09D4"/>
    <w:rsid w:val="006F6CA0"/>
    <w:rsid w:val="0074022A"/>
    <w:rsid w:val="00826930"/>
    <w:rsid w:val="00896FD4"/>
    <w:rsid w:val="00A9372A"/>
    <w:rsid w:val="00D344BA"/>
    <w:rsid w:val="00E3443A"/>
    <w:rsid w:val="00E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B56C8F-9191-4E17-83BD-D8C3C16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AMUW2mUjPLS3i0dO2XWvxvkANsJWEOlUVHXLCjkTTfayDTyOrDyg3erJ/DPr/hWzRsTVEJ0JQqEj4g+P5xMJbOvNeCKXu/folh0SvGPaupD1U481JathZBQdXRGxtYXllbi1d1myCI5R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3</cp:revision>
  <dcterms:created xsi:type="dcterms:W3CDTF">2019-08-27T22:00:00Z</dcterms:created>
  <dcterms:modified xsi:type="dcterms:W3CDTF">2019-09-03T22:51:00Z</dcterms:modified>
</cp:coreProperties>
</file>