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 Farm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IV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920"/>
        <w:gridCol w:w="2025"/>
        <w:gridCol w:w="6255"/>
        <w:tblGridChange w:id="0">
          <w:tblGrid>
            <w:gridCol w:w="1920"/>
            <w:gridCol w:w="2025"/>
            <w:gridCol w:w="625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(27/08/2019)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-Scarlett Oswald.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Finalización de la elaboración de la maqueta experimental.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terminó de elaborar la Carta Gantt (Sujeta a posibles cambios).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Avance en la Formulación de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Investigar las características físicas de los sensores, como; tamaño, extensión de los cables, en qué ambientes trabajan, etc.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Consultar cuándo se hará la charla con el experto en agronomía y cuando  entregarán los materiales necesarios para el SHC, para elaborar una carta Gantt más precisa.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Buscar defectos en la maquetas para evitar futuros problemas.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¿Cómo organizar los sensores en la maqueta experimental para que no haya problemas de conexiones o estructurales?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pegamento es el más adecuado para pegar el tubo de pvc al envase de plástico?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03/09/2019</w:t>
            </w:r>
          </w:p>
        </w:tc>
      </w:tr>
      <w:tr>
        <w:trPr>
          <w:trHeight w:val="52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Finalizar el informe de la formulación de proyecto.</w:t>
            </w:r>
          </w:p>
          <w:p w:rsidR="00000000" w:rsidDel="00000000" w:rsidP="00000000" w:rsidRDefault="00000000" w:rsidRPr="00000000" w14:paraId="00000028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Equipo de trabajo.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Hacer pruebas con agua para ver si la estructura de la maqueta funciona correctamente.</w:t>
            </w:r>
          </w:p>
          <w:p w:rsidR="00000000" w:rsidDel="00000000" w:rsidP="00000000" w:rsidRDefault="00000000" w:rsidRPr="00000000" w14:paraId="0000002A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Equipo de trabajo.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Formulación de Proyecto.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Maqueta Experimental.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2" w:w="12242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PROYECTO II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- 20</w:t>
    </w:r>
    <w:r w:rsidDel="00000000" w:rsidR="00000000" w:rsidRPr="00000000">
      <w:rPr>
        <w:rFonts w:ascii="Arial" w:cs="Arial" w:eastAsia="Arial" w:hAnsi="Arial"/>
        <w:rtl w:val="0"/>
      </w:rPr>
      <w:t xml:space="preserve">1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C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D">
          <w:pPr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rRCeghVi0tztVXFS68GnCorFQ==">AMUW2mWA4JTe2dp4QMu1BQGdAeXkkFzdZIphDFleoLY2TAr263qTTv2CzUxjVcEliQIGurlpRa1dWNOp0uHOzsFmM9vMlzNGV44S+ub78KBDkrrG1NoUcQQ+X+VobGId1XuzihDzqAJe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